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320E" w14:textId="77777777" w:rsidR="00F61CD4" w:rsidRDefault="005B2327" w:rsidP="00C40BBC">
      <w:pPr>
        <w:tabs>
          <w:tab w:val="right" w:pos="9072"/>
        </w:tabs>
        <w:spacing w:after="0" w:line="240" w:lineRule="auto"/>
        <w:rPr>
          <w:i/>
        </w:rPr>
      </w:pPr>
      <w:r>
        <w:rPr>
          <w:i/>
          <w:noProof/>
          <w:lang w:eastAsia="de-AT"/>
        </w:rPr>
        <w:drawing>
          <wp:anchor distT="0" distB="0" distL="114300" distR="114300" simplePos="0" relativeHeight="251663360" behindDoc="0" locked="0" layoutInCell="1" allowOverlap="1" wp14:anchorId="277A52B2" wp14:editId="1AC3426B">
            <wp:simplePos x="0" y="0"/>
            <wp:positionH relativeFrom="column">
              <wp:posOffset>4252595</wp:posOffset>
            </wp:positionH>
            <wp:positionV relativeFrom="paragraph">
              <wp:posOffset>-55880</wp:posOffset>
            </wp:positionV>
            <wp:extent cx="2000885" cy="2654300"/>
            <wp:effectExtent l="38100" t="38100" r="94615" b="889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9145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885" cy="26543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7C61C7A" w14:textId="77777777" w:rsidR="007D04BF" w:rsidRPr="00A639D9" w:rsidRDefault="007D04BF" w:rsidP="007D04BF">
      <w:pPr>
        <w:tabs>
          <w:tab w:val="right" w:pos="9072"/>
        </w:tabs>
        <w:spacing w:after="0" w:line="240" w:lineRule="auto"/>
        <w:rPr>
          <w:sz w:val="28"/>
          <w:szCs w:val="28"/>
        </w:rPr>
      </w:pPr>
      <w:r w:rsidRPr="00A639D9">
        <w:rPr>
          <w:sz w:val="28"/>
          <w:szCs w:val="28"/>
        </w:rPr>
        <w:t>Frauke Angel / Stephanie Brittnacher</w:t>
      </w:r>
      <w:r w:rsidRPr="00A639D9">
        <w:rPr>
          <w:sz w:val="28"/>
          <w:szCs w:val="28"/>
        </w:rPr>
        <w:tab/>
      </w:r>
    </w:p>
    <w:p w14:paraId="163F428C" w14:textId="77777777" w:rsidR="007D04BF" w:rsidRPr="00A639D9" w:rsidRDefault="007D04BF" w:rsidP="007D04BF">
      <w:pPr>
        <w:spacing w:after="0" w:line="240" w:lineRule="auto"/>
        <w:rPr>
          <w:b/>
          <w:sz w:val="32"/>
          <w:szCs w:val="32"/>
        </w:rPr>
      </w:pPr>
      <w:r w:rsidRPr="00A639D9">
        <w:rPr>
          <w:b/>
          <w:sz w:val="32"/>
          <w:szCs w:val="32"/>
        </w:rPr>
        <w:t>Heul doch</w:t>
      </w:r>
    </w:p>
    <w:p w14:paraId="13E8C09D" w14:textId="77777777" w:rsidR="007D04BF" w:rsidRPr="00A639D9" w:rsidRDefault="007D04BF" w:rsidP="007D04BF">
      <w:pPr>
        <w:spacing w:after="0" w:line="240" w:lineRule="auto"/>
        <w:rPr>
          <w:b/>
          <w:sz w:val="28"/>
          <w:szCs w:val="28"/>
        </w:rPr>
      </w:pPr>
      <w:r w:rsidRPr="00A639D9">
        <w:rPr>
          <w:b/>
          <w:sz w:val="28"/>
          <w:szCs w:val="28"/>
        </w:rPr>
        <w:t>Vom Heulen, Plärren, Weinen und Flennen</w:t>
      </w:r>
    </w:p>
    <w:p w14:paraId="63321303" w14:textId="77777777" w:rsidR="00A639D9" w:rsidRDefault="00A639D9" w:rsidP="007D04BF">
      <w:pPr>
        <w:spacing w:after="0" w:line="240" w:lineRule="auto"/>
        <w:rPr>
          <w:szCs w:val="24"/>
        </w:rPr>
      </w:pPr>
    </w:p>
    <w:p w14:paraId="13103AFA" w14:textId="77777777" w:rsidR="00A639D9" w:rsidRDefault="007D04BF" w:rsidP="007D04BF">
      <w:pPr>
        <w:spacing w:after="0" w:line="240" w:lineRule="auto"/>
        <w:rPr>
          <w:i/>
          <w:szCs w:val="24"/>
        </w:rPr>
      </w:pPr>
      <w:r>
        <w:rPr>
          <w:i/>
          <w:szCs w:val="24"/>
        </w:rPr>
        <w:t xml:space="preserve">26 Seiten, </w:t>
      </w:r>
      <w:proofErr w:type="spellStart"/>
      <w:r>
        <w:rPr>
          <w:i/>
          <w:szCs w:val="24"/>
        </w:rPr>
        <w:t>durchg</w:t>
      </w:r>
      <w:proofErr w:type="spellEnd"/>
      <w:r>
        <w:rPr>
          <w:i/>
          <w:szCs w:val="24"/>
        </w:rPr>
        <w:t xml:space="preserve">. </w:t>
      </w:r>
      <w:proofErr w:type="spellStart"/>
      <w:r>
        <w:rPr>
          <w:i/>
          <w:szCs w:val="24"/>
        </w:rPr>
        <w:t>farb</w:t>
      </w:r>
      <w:proofErr w:type="spellEnd"/>
      <w:r>
        <w:rPr>
          <w:i/>
          <w:szCs w:val="24"/>
        </w:rPr>
        <w:t xml:space="preserve">. </w:t>
      </w:r>
      <w:proofErr w:type="spellStart"/>
      <w:r>
        <w:rPr>
          <w:i/>
          <w:szCs w:val="24"/>
        </w:rPr>
        <w:t>ill</w:t>
      </w:r>
      <w:proofErr w:type="spellEnd"/>
      <w:r>
        <w:rPr>
          <w:i/>
          <w:szCs w:val="24"/>
        </w:rPr>
        <w:t xml:space="preserve">., </w:t>
      </w:r>
    </w:p>
    <w:p w14:paraId="70B336F9" w14:textId="77777777" w:rsidR="007D04BF" w:rsidRDefault="007D04BF" w:rsidP="007D04BF">
      <w:pPr>
        <w:spacing w:after="0" w:line="240" w:lineRule="auto"/>
        <w:rPr>
          <w:i/>
          <w:szCs w:val="24"/>
        </w:rPr>
      </w:pPr>
      <w:r>
        <w:rPr>
          <w:i/>
          <w:szCs w:val="24"/>
        </w:rPr>
        <w:t>20 x 26,5 cm, gebunden</w:t>
      </w:r>
    </w:p>
    <w:p w14:paraId="2650EA77" w14:textId="77777777" w:rsidR="00A639D9" w:rsidRDefault="00A639D9" w:rsidP="00A639D9">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 2021</w:t>
      </w:r>
    </w:p>
    <w:p w14:paraId="093FA263" w14:textId="77777777" w:rsidR="007D04BF" w:rsidRDefault="007D04BF" w:rsidP="007D04BF">
      <w:pPr>
        <w:spacing w:after="0" w:line="240" w:lineRule="auto"/>
        <w:rPr>
          <w:i/>
          <w:szCs w:val="24"/>
        </w:rPr>
      </w:pPr>
      <w:r>
        <w:rPr>
          <w:i/>
          <w:szCs w:val="24"/>
        </w:rPr>
        <w:t>ISBN 978-3-7022-3914-5</w:t>
      </w:r>
    </w:p>
    <w:p w14:paraId="69456A8E" w14:textId="3D4DE49B" w:rsidR="007D04BF" w:rsidRDefault="007D04BF" w:rsidP="007D04BF">
      <w:pPr>
        <w:tabs>
          <w:tab w:val="right" w:pos="9072"/>
        </w:tabs>
        <w:spacing w:after="0" w:line="240" w:lineRule="auto"/>
        <w:rPr>
          <w:i/>
          <w:szCs w:val="24"/>
        </w:rPr>
      </w:pPr>
      <w:r>
        <w:rPr>
          <w:i/>
          <w:szCs w:val="24"/>
        </w:rPr>
        <w:t xml:space="preserve">€ </w:t>
      </w:r>
      <w:r w:rsidR="00D50928">
        <w:rPr>
          <w:i/>
          <w:szCs w:val="24"/>
        </w:rPr>
        <w:t>18</w:t>
      </w:r>
      <w:r>
        <w:rPr>
          <w:i/>
          <w:szCs w:val="24"/>
        </w:rPr>
        <w:t xml:space="preserve"> </w:t>
      </w:r>
      <w:r w:rsidR="00A639D9">
        <w:rPr>
          <w:i/>
          <w:szCs w:val="24"/>
        </w:rPr>
        <w:t>|</w:t>
      </w:r>
      <w:r>
        <w:rPr>
          <w:i/>
          <w:szCs w:val="24"/>
        </w:rPr>
        <w:t>ab 4 Jahren</w:t>
      </w:r>
    </w:p>
    <w:p w14:paraId="2715CB70" w14:textId="77777777" w:rsidR="007D04BF" w:rsidRDefault="007D04BF" w:rsidP="007D04BF">
      <w:pPr>
        <w:tabs>
          <w:tab w:val="right" w:pos="9072"/>
        </w:tabs>
        <w:spacing w:after="0" w:line="240" w:lineRule="auto"/>
        <w:rPr>
          <w:i/>
          <w:sz w:val="24"/>
          <w:szCs w:val="24"/>
        </w:rPr>
      </w:pPr>
    </w:p>
    <w:p w14:paraId="0A2A5937" w14:textId="77777777" w:rsidR="00E07BC3" w:rsidRDefault="00E07BC3" w:rsidP="00E07BC3">
      <w:pPr>
        <w:spacing w:after="0" w:line="240" w:lineRule="auto"/>
        <w:rPr>
          <w:b/>
          <w:sz w:val="24"/>
          <w:szCs w:val="24"/>
        </w:rPr>
      </w:pPr>
      <w:r w:rsidRPr="005B2327">
        <w:rPr>
          <w:b/>
          <w:sz w:val="24"/>
          <w:szCs w:val="24"/>
        </w:rPr>
        <w:t>Da bleibt kein Auge trocken</w:t>
      </w:r>
    </w:p>
    <w:p w14:paraId="15AD3813" w14:textId="77777777" w:rsidR="007D04BF" w:rsidRPr="005B2327" w:rsidRDefault="007D04BF" w:rsidP="007D04BF">
      <w:pPr>
        <w:spacing w:after="0" w:line="240" w:lineRule="auto"/>
        <w:rPr>
          <w:sz w:val="24"/>
          <w:szCs w:val="24"/>
        </w:rPr>
      </w:pPr>
      <w:r w:rsidRPr="005B2327">
        <w:rPr>
          <w:sz w:val="24"/>
          <w:szCs w:val="24"/>
        </w:rPr>
        <w:t xml:space="preserve">Fast alle Menschen tun es und zwar auf der ganzen Welt: heulen, plärren, weinen und flennen. Die Gründe dafür sind mannigfaltig und höchst individuell. Sei es vor Schmerzen, vor Trauer, vor Wut, vor Verzweiflung, sei es auf Knopfdruck, wenn man schauspielern soll, oder weil es wie bei Babys die einzige Möglichkeit ist, ein dringendes Bedürfnis mitzuteilen. Auch vor Freude, Rührung und Erleichterung können uns schon einmal die Tränen kommen, während sie anderswo bereits völlig versiegt scheinen. </w:t>
      </w:r>
    </w:p>
    <w:p w14:paraId="314CE102" w14:textId="77777777" w:rsidR="007D04BF" w:rsidRPr="005B2327" w:rsidRDefault="007D04BF" w:rsidP="007D04BF">
      <w:pPr>
        <w:spacing w:after="0" w:line="240" w:lineRule="auto"/>
        <w:rPr>
          <w:sz w:val="24"/>
          <w:szCs w:val="24"/>
        </w:rPr>
      </w:pPr>
      <w:r w:rsidRPr="005B2327">
        <w:rPr>
          <w:sz w:val="24"/>
          <w:szCs w:val="24"/>
        </w:rPr>
        <w:t>Aber wozu weinen wir eigentlich? Und wo kommen die Tränen überhaupt her? Können Tiere weinen? Weinen alle Menschen gleich viel? Und weshalb schmecken Tränen salzig? Auf der Suche nach Antworten erkunden wir die Tränen einer Großfamilie</w:t>
      </w:r>
      <w:r w:rsidR="00E07BC3" w:rsidRPr="005B2327">
        <w:rPr>
          <w:sz w:val="24"/>
          <w:szCs w:val="24"/>
        </w:rPr>
        <w:t xml:space="preserve"> beim Familientreffen. Und hier </w:t>
      </w:r>
      <w:r w:rsidRPr="005B2327">
        <w:rPr>
          <w:sz w:val="24"/>
          <w:szCs w:val="24"/>
        </w:rPr>
        <w:t>wird wirklich viel geheult!</w:t>
      </w:r>
      <w:r w:rsidR="00E07BC3" w:rsidRPr="005B2327">
        <w:rPr>
          <w:sz w:val="24"/>
          <w:szCs w:val="24"/>
        </w:rPr>
        <w:t xml:space="preserve"> Familienmitglied für Familienmitglied werden hier die verschiedenen Heul-Motive beleuchtet, Persönlichkeiten präsentiert, Beziehungen verdeutlicht, ergänzt durch kurze Information aus der Wissenschaft, für die das menschliche Weinen erstaunlicherweise noch ein relativ unerforschtes Gebiet ist.</w:t>
      </w:r>
    </w:p>
    <w:p w14:paraId="6D60D4BA" w14:textId="77777777" w:rsidR="007D04BF" w:rsidRPr="005B2327" w:rsidRDefault="007D04BF" w:rsidP="00E07BC3">
      <w:pPr>
        <w:spacing w:after="0" w:line="240" w:lineRule="auto"/>
        <w:rPr>
          <w:sz w:val="24"/>
          <w:szCs w:val="24"/>
        </w:rPr>
      </w:pPr>
      <w:r w:rsidRPr="005B2327">
        <w:rPr>
          <w:sz w:val="24"/>
          <w:szCs w:val="24"/>
        </w:rPr>
        <w:t>Frauke Angel präsentiert das ernsthafte Thema frisch und humorig, gleichzeitig respektvoll und tiefgehend. Der mehr als wässrigen Materie setzt Stephanie Brittnacher expressive, kraftvolle Bilder entgegen, arbeitet vornehmlich mit Blau, Rot und Weiß, führt Andeutungen weiter, erzählt Hintergründe und macht vor allem eines deutlich: Egal, wer wir sind und wie wir im Leben stehen – heulen tun wir alle, mal lauter, mal leiser, mal auch nur ganz versteckt in uns drin.</w:t>
      </w:r>
    </w:p>
    <w:p w14:paraId="36CDDCF4" w14:textId="77777777" w:rsidR="007D04BF" w:rsidRPr="005B2327" w:rsidRDefault="007D04BF" w:rsidP="00E07BC3">
      <w:pPr>
        <w:spacing w:after="0" w:line="240" w:lineRule="auto"/>
        <w:rPr>
          <w:b/>
          <w:sz w:val="24"/>
          <w:szCs w:val="24"/>
        </w:rPr>
      </w:pPr>
    </w:p>
    <w:p w14:paraId="14B944E4" w14:textId="77777777" w:rsidR="00D50928" w:rsidRPr="00D50928" w:rsidRDefault="00D50928" w:rsidP="00D50928">
      <w:pPr>
        <w:spacing w:after="0" w:line="240" w:lineRule="auto"/>
        <w:ind w:left="426"/>
        <w:rPr>
          <w:b/>
          <w:sz w:val="24"/>
          <w:szCs w:val="24"/>
        </w:rPr>
      </w:pPr>
      <w:r w:rsidRPr="00D50928">
        <w:rPr>
          <w:b/>
          <w:i/>
          <w:sz w:val="24"/>
          <w:szCs w:val="24"/>
        </w:rPr>
        <w:t xml:space="preserve">»Von Krokodilstränen, Weltschmerz und Zwiebelsaft. Interessant und vielfältig.« </w:t>
      </w:r>
      <w:r w:rsidRPr="00D50928">
        <w:rPr>
          <w:b/>
          <w:i/>
          <w:sz w:val="24"/>
          <w:szCs w:val="24"/>
        </w:rPr>
        <w:br/>
      </w:r>
      <w:r w:rsidRPr="00D50928">
        <w:rPr>
          <w:b/>
          <w:sz w:val="24"/>
          <w:szCs w:val="24"/>
        </w:rPr>
        <w:t>Evangelisches Literaturportal e.V.</w:t>
      </w:r>
    </w:p>
    <w:p w14:paraId="7A57ED48" w14:textId="77777777" w:rsidR="007D04BF" w:rsidRPr="005B2327" w:rsidRDefault="00AC382D" w:rsidP="00E07BC3">
      <w:pPr>
        <w:spacing w:after="0" w:line="240" w:lineRule="auto"/>
        <w:rPr>
          <w:b/>
          <w:i/>
          <w:sz w:val="24"/>
          <w:szCs w:val="24"/>
        </w:rPr>
      </w:pPr>
      <w:r w:rsidRPr="005B2327">
        <w:rPr>
          <w:b/>
          <w:sz w:val="24"/>
          <w:szCs w:val="24"/>
        </w:rPr>
        <w:br/>
      </w:r>
      <w:r w:rsidR="007D04BF" w:rsidRPr="005B2327">
        <w:rPr>
          <w:b/>
          <w:i/>
          <w:sz w:val="24"/>
          <w:szCs w:val="24"/>
        </w:rPr>
        <w:t>Die Autorin und die Illustratorin</w:t>
      </w:r>
    </w:p>
    <w:p w14:paraId="1A36DC05" w14:textId="77777777" w:rsidR="007D04BF" w:rsidRPr="005B2327" w:rsidRDefault="009D7324" w:rsidP="009D7324">
      <w:pPr>
        <w:spacing w:after="120" w:line="240" w:lineRule="auto"/>
        <w:rPr>
          <w:sz w:val="24"/>
          <w:szCs w:val="24"/>
        </w:rPr>
      </w:pPr>
      <w:r w:rsidRPr="005B2327">
        <w:rPr>
          <w:smallCaps/>
          <w:noProof/>
          <w:sz w:val="24"/>
          <w:szCs w:val="24"/>
          <w:lang w:eastAsia="de-AT"/>
        </w:rPr>
        <w:drawing>
          <wp:anchor distT="0" distB="0" distL="114300" distR="114300" simplePos="0" relativeHeight="251662336" behindDoc="0" locked="0" layoutInCell="1" allowOverlap="1" wp14:anchorId="4FD7CED9" wp14:editId="2D3C95FA">
            <wp:simplePos x="0" y="0"/>
            <wp:positionH relativeFrom="column">
              <wp:posOffset>9525</wp:posOffset>
            </wp:positionH>
            <wp:positionV relativeFrom="paragraph">
              <wp:posOffset>1308100</wp:posOffset>
            </wp:positionV>
            <wp:extent cx="800100" cy="1044575"/>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tnacher_kle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1764" r="7009" b="17058"/>
                    <a:stretch/>
                  </pic:blipFill>
                  <pic:spPr bwMode="auto">
                    <a:xfrm>
                      <a:off x="0" y="0"/>
                      <a:ext cx="800100"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82D" w:rsidRPr="005B2327">
        <w:rPr>
          <w:rFonts w:ascii="Calibri" w:hAnsi="Calibri"/>
          <w:i/>
          <w:noProof/>
          <w:sz w:val="24"/>
          <w:szCs w:val="24"/>
          <w:lang w:eastAsia="de-AT"/>
        </w:rPr>
        <mc:AlternateContent>
          <mc:Choice Requires="wps">
            <w:drawing>
              <wp:anchor distT="0" distB="0" distL="114300" distR="114300" simplePos="0" relativeHeight="251661312" behindDoc="0" locked="0" layoutInCell="1" allowOverlap="1" wp14:anchorId="6D2AAFFF" wp14:editId="19AEC5A5">
                <wp:simplePos x="0" y="0"/>
                <wp:positionH relativeFrom="column">
                  <wp:posOffset>-1503363</wp:posOffset>
                </wp:positionH>
                <wp:positionV relativeFrom="paragraph">
                  <wp:posOffset>285433</wp:posOffset>
                </wp:positionV>
                <wp:extent cx="1000125" cy="218440"/>
                <wp:effectExtent l="0" t="0" r="317"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0125" cy="218440"/>
                        </a:xfrm>
                        <a:prstGeom prst="rect">
                          <a:avLst/>
                        </a:prstGeom>
                        <a:noFill/>
                        <a:ln w="9525">
                          <a:noFill/>
                          <a:miter lim="800000"/>
                          <a:headEnd/>
                          <a:tailEnd/>
                        </a:ln>
                      </wps:spPr>
                      <wps:txbx>
                        <w:txbxContent>
                          <w:p w14:paraId="1960D2F8" w14:textId="77777777" w:rsidR="00E07BC3" w:rsidRPr="00140B07" w:rsidRDefault="00E07BC3" w:rsidP="00E07BC3">
                            <w:pPr>
                              <w:rPr>
                                <w:color w:val="000000" w:themeColor="text1"/>
                                <w:sz w:val="16"/>
                                <w:szCs w:val="16"/>
                              </w:rPr>
                            </w:pPr>
                            <w:r w:rsidRPr="00140B07">
                              <w:rPr>
                                <w:color w:val="000000" w:themeColor="text1"/>
                                <w:sz w:val="16"/>
                                <w:szCs w:val="16"/>
                              </w:rPr>
                              <w:t xml:space="preserve">© Sören </w:t>
                            </w:r>
                            <w:proofErr w:type="spellStart"/>
                            <w:r w:rsidRPr="00140B07">
                              <w:rPr>
                                <w:color w:val="000000" w:themeColor="text1"/>
                                <w:sz w:val="16"/>
                                <w:szCs w:val="16"/>
                              </w:rPr>
                              <w:t>Grochau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AAFFF" id="_x0000_t202" coordsize="21600,21600" o:spt="202" path="m,l,21600r21600,l21600,xe">
                <v:stroke joinstyle="miter"/>
                <v:path gradientshapeok="t" o:connecttype="rect"/>
              </v:shapetype>
              <v:shape id="Textfeld 2" o:spid="_x0000_s1026" type="#_x0000_t202" style="position:absolute;margin-left:-118.4pt;margin-top:22.5pt;width:78.75pt;height:17.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" filled="f" stroked="f">
                <v:textbox>
                  <w:txbxContent>
                    <w:p w14:paraId="1960D2F8" w14:textId="77777777" w:rsidR="00E07BC3" w:rsidRPr="00140B07" w:rsidRDefault="00E07BC3" w:rsidP="00E07BC3">
                      <w:pPr>
                        <w:rPr>
                          <w:color w:val="000000" w:themeColor="text1"/>
                          <w:sz w:val="16"/>
                          <w:szCs w:val="16"/>
                        </w:rPr>
                      </w:pPr>
                      <w:r w:rsidRPr="00140B07">
                        <w:rPr>
                          <w:color w:val="000000" w:themeColor="text1"/>
                          <w:sz w:val="16"/>
                          <w:szCs w:val="16"/>
                        </w:rPr>
                        <w:t xml:space="preserve">© Sören </w:t>
                      </w:r>
                      <w:proofErr w:type="spellStart"/>
                      <w:r w:rsidRPr="00140B07">
                        <w:rPr>
                          <w:color w:val="000000" w:themeColor="text1"/>
                          <w:sz w:val="16"/>
                          <w:szCs w:val="16"/>
                        </w:rPr>
                        <w:t>Grochau</w:t>
                      </w:r>
                      <w:proofErr w:type="spellEnd"/>
                    </w:p>
                  </w:txbxContent>
                </v:textbox>
              </v:shape>
            </w:pict>
          </mc:Fallback>
        </mc:AlternateContent>
      </w:r>
      <w:r w:rsidR="00E07BC3" w:rsidRPr="005B2327">
        <w:rPr>
          <w:rFonts w:cstheme="minorHAnsi"/>
          <w:smallCaps/>
          <w:noProof/>
          <w:color w:val="000000"/>
          <w:sz w:val="24"/>
          <w:szCs w:val="24"/>
          <w:lang w:eastAsia="de-AT"/>
        </w:rPr>
        <w:drawing>
          <wp:anchor distT="0" distB="0" distL="114300" distR="114300" simplePos="0" relativeHeight="251660288" behindDoc="0" locked="0" layoutInCell="1" allowOverlap="1" wp14:anchorId="60E11618" wp14:editId="361977AD">
            <wp:simplePos x="0" y="0"/>
            <wp:positionH relativeFrom="column">
              <wp:posOffset>13970</wp:posOffset>
            </wp:positionH>
            <wp:positionV relativeFrom="paragraph">
              <wp:posOffset>66040</wp:posOffset>
            </wp:positionV>
            <wp:extent cx="800100" cy="1057910"/>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_copyright_Sören Grochau1_klein.jpg"/>
                    <pic:cNvPicPr/>
                  </pic:nvPicPr>
                  <pic:blipFill rotWithShape="1">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l="25819" t="5708" r="35783" b="18114"/>
                    <a:stretch/>
                  </pic:blipFill>
                  <pic:spPr bwMode="auto">
                    <a:xfrm>
                      <a:off x="0" y="0"/>
                      <a:ext cx="800100" cy="105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7BC3" w:rsidRPr="005B2327">
        <w:rPr>
          <w:sz w:val="24"/>
          <w:szCs w:val="24"/>
        </w:rPr>
        <w:t>F</w:t>
      </w:r>
      <w:r w:rsidR="00E07BC3" w:rsidRPr="005B2327">
        <w:rPr>
          <w:rFonts w:cstheme="minorHAnsi"/>
          <w:smallCaps/>
          <w:color w:val="000000"/>
          <w:sz w:val="24"/>
          <w:szCs w:val="24"/>
        </w:rPr>
        <w:t>rauke angel</w:t>
      </w:r>
      <w:r w:rsidR="00E07BC3" w:rsidRPr="005B2327">
        <w:rPr>
          <w:rFonts w:cstheme="minorHAnsi"/>
          <w:color w:val="000000"/>
          <w:sz w:val="24"/>
          <w:szCs w:val="24"/>
        </w:rPr>
        <w:t>,</w:t>
      </w:r>
      <w:r w:rsidR="00E07BC3" w:rsidRPr="005B2327">
        <w:rPr>
          <w:rFonts w:ascii="Calibri" w:hAnsi="Calibri" w:cs="Calibri"/>
          <w:color w:val="000000"/>
          <w:sz w:val="24"/>
          <w:szCs w:val="24"/>
          <w:lang w:eastAsia="de-AT"/>
        </w:rPr>
        <w:t xml:space="preserve"> wurde 1974 im Ruhrgebiet geboren. Sie ist Schauspielerin und arbeitete 20 Jahre an deutschen Bühnen, zudem als Putzfrau, Verkäuferin, Grabpflegerin, Schweißerin, Bardame, Luftgitarristin und Ghostwriterin. 2017 gab sie ihr Kinderbuch-Debüt. Seitdem schreibt sie für Kinder, Jugendliche und manchmal auch für den Rest der Familie. </w:t>
      </w:r>
      <w:r w:rsidR="005B2327" w:rsidRPr="005B2327">
        <w:rPr>
          <w:rFonts w:ascii="Calibri" w:hAnsi="Calibri" w:cs="Calibri"/>
          <w:color w:val="000000"/>
          <w:sz w:val="24"/>
          <w:szCs w:val="24"/>
          <w:lang w:eastAsia="de-AT"/>
        </w:rPr>
        <w:t xml:space="preserve">Frauke Angel lebt in Dresden. </w:t>
      </w:r>
      <w:r w:rsidR="00E07BC3" w:rsidRPr="005B2327">
        <w:rPr>
          <w:rFonts w:ascii="Calibri" w:hAnsi="Calibri" w:cs="Calibri"/>
          <w:color w:val="000000"/>
          <w:sz w:val="24"/>
          <w:szCs w:val="24"/>
          <w:lang w:eastAsia="de-AT"/>
        </w:rPr>
        <w:t xml:space="preserve">2020 gewann sie den Österreichischen Kinder- und Jugendbuchpreis. </w:t>
      </w:r>
      <w:r w:rsidR="00DA6F11" w:rsidRPr="005B2327">
        <w:rPr>
          <w:rFonts w:ascii="Calibri" w:hAnsi="Calibri" w:cs="Calibri"/>
          <w:color w:val="000000"/>
          <w:sz w:val="24"/>
          <w:szCs w:val="24"/>
          <w:lang w:eastAsia="de-AT"/>
        </w:rPr>
        <w:t xml:space="preserve">Bei Tyrolia ist von ihr schon „Ein eiskalter Fisch“ (Ill. v. Elisabeth Kihßl) erschienen. </w:t>
      </w:r>
      <w:hyperlink r:id="rId12" w:history="1">
        <w:r w:rsidR="00E07BC3" w:rsidRPr="005B2327">
          <w:rPr>
            <w:rStyle w:val="Hyperlink"/>
            <w:rFonts w:ascii="Calibri" w:hAnsi="Calibri" w:cs="Calibri"/>
            <w:i/>
            <w:color w:val="000000" w:themeColor="text1"/>
            <w:sz w:val="24"/>
            <w:szCs w:val="24"/>
            <w:u w:val="none"/>
            <w:lang w:eastAsia="de-AT"/>
          </w:rPr>
          <w:t>www.fraukeangel.de</w:t>
        </w:r>
      </w:hyperlink>
      <w:r w:rsidR="00E07BC3" w:rsidRPr="005B2327">
        <w:rPr>
          <w:rStyle w:val="Hyperlink"/>
          <w:rFonts w:ascii="Calibri" w:hAnsi="Calibri" w:cs="Calibri"/>
          <w:i/>
          <w:color w:val="000000" w:themeColor="text1"/>
          <w:sz w:val="24"/>
          <w:szCs w:val="24"/>
          <w:u w:val="none"/>
          <w:lang w:eastAsia="de-AT"/>
        </w:rPr>
        <w:t xml:space="preserve"> </w:t>
      </w:r>
    </w:p>
    <w:p w14:paraId="45A35ED8" w14:textId="77777777" w:rsidR="00B05462" w:rsidRPr="005B2327" w:rsidRDefault="007D04BF" w:rsidP="009D7324">
      <w:pPr>
        <w:spacing w:after="120" w:line="240" w:lineRule="auto"/>
        <w:rPr>
          <w:sz w:val="24"/>
          <w:szCs w:val="24"/>
        </w:rPr>
      </w:pPr>
      <w:r w:rsidRPr="005B2327">
        <w:rPr>
          <w:smallCaps/>
          <w:sz w:val="24"/>
          <w:szCs w:val="24"/>
        </w:rPr>
        <w:t>Stephanie Brittnacher</w:t>
      </w:r>
      <w:r w:rsidRPr="005B2327">
        <w:rPr>
          <w:sz w:val="24"/>
          <w:szCs w:val="24"/>
        </w:rPr>
        <w:t xml:space="preserve"> studierte Kommunikationsdesign in Mainz. Seit 2013 ist sie in Chemnitz  als selbständige Illustratorin tätig und arbeitet für Unternehmen, Vereine und für ihre Stadt. In ihren Bildern erzählt sie Geschichten und macht Kompliziertes leichter verständlich. </w:t>
      </w:r>
      <w:r w:rsidR="00E07BC3" w:rsidRPr="005B2327">
        <w:rPr>
          <w:i/>
          <w:sz w:val="24"/>
          <w:szCs w:val="24"/>
        </w:rPr>
        <w:t>www.stephaniebrittnacher.de</w:t>
      </w:r>
    </w:p>
    <w:sectPr w:rsidR="00B05462" w:rsidRPr="005B2327" w:rsidSect="00802DE2">
      <w:headerReference w:type="default" r:id="rId13"/>
      <w:pgSz w:w="11906" w:h="16838"/>
      <w:pgMar w:top="1418" w:right="11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01A7" w14:textId="77777777" w:rsidR="00003B2E" w:rsidRDefault="00003B2E" w:rsidP="00B92466">
      <w:pPr>
        <w:spacing w:after="0" w:line="240" w:lineRule="auto"/>
      </w:pPr>
      <w:r>
        <w:separator/>
      </w:r>
    </w:p>
  </w:endnote>
  <w:endnote w:type="continuationSeparator" w:id="0">
    <w:p w14:paraId="09A0899E" w14:textId="77777777"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0357" w14:textId="77777777" w:rsidR="00003B2E" w:rsidRDefault="00003B2E" w:rsidP="00B92466">
      <w:pPr>
        <w:spacing w:after="0" w:line="240" w:lineRule="auto"/>
      </w:pPr>
      <w:r>
        <w:separator/>
      </w:r>
    </w:p>
  </w:footnote>
  <w:footnote w:type="continuationSeparator" w:id="0">
    <w:p w14:paraId="77CAE9A7" w14:textId="77777777"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C267" w14:textId="77777777" w:rsidR="009D7324" w:rsidRDefault="009D7324" w:rsidP="009D7324">
    <w:pPr>
      <w:pStyle w:val="berschrift3"/>
      <w:jc w:val="left"/>
    </w:pPr>
    <w:r>
      <w:t xml:space="preserve">Tyrolia-Verlag, Innsbruck–Wien </w:t>
    </w:r>
  </w:p>
  <w:p w14:paraId="5DACBFF5" w14:textId="77777777" w:rsidR="009D7324" w:rsidRDefault="009D7324" w:rsidP="009D73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79491074">
    <w:abstractNumId w:val="1"/>
  </w:num>
  <w:num w:numId="2" w16cid:durableId="1220938870">
    <w:abstractNumId w:val="3"/>
  </w:num>
  <w:num w:numId="3" w16cid:durableId="1186215943">
    <w:abstractNumId w:val="0"/>
  </w:num>
  <w:num w:numId="4" w16cid:durableId="732780412">
    <w:abstractNumId w:val="2"/>
  </w:num>
  <w:num w:numId="5" w16cid:durableId="1012800838">
    <w:abstractNumId w:val="4"/>
  </w:num>
  <w:num w:numId="6" w16cid:durableId="1810122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7BC8"/>
    <w:rsid w:val="000502C5"/>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2594"/>
    <w:rsid w:val="001717C9"/>
    <w:rsid w:val="001732A0"/>
    <w:rsid w:val="00176A50"/>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6D16"/>
    <w:rsid w:val="00246E0B"/>
    <w:rsid w:val="00250A9D"/>
    <w:rsid w:val="00250CE6"/>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E6C83"/>
    <w:rsid w:val="002F1266"/>
    <w:rsid w:val="002F223D"/>
    <w:rsid w:val="002F23D8"/>
    <w:rsid w:val="002F28AB"/>
    <w:rsid w:val="002F3711"/>
    <w:rsid w:val="002F74B3"/>
    <w:rsid w:val="002F7BAA"/>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472CE"/>
    <w:rsid w:val="00355E8A"/>
    <w:rsid w:val="00356A2C"/>
    <w:rsid w:val="003577E2"/>
    <w:rsid w:val="00357EB1"/>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2327"/>
    <w:rsid w:val="005B371C"/>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4F3"/>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10F8"/>
    <w:rsid w:val="00771366"/>
    <w:rsid w:val="00775470"/>
    <w:rsid w:val="0077775E"/>
    <w:rsid w:val="00777EB7"/>
    <w:rsid w:val="00780E7D"/>
    <w:rsid w:val="00783A14"/>
    <w:rsid w:val="00783A79"/>
    <w:rsid w:val="007860DF"/>
    <w:rsid w:val="00787D5C"/>
    <w:rsid w:val="00790CA9"/>
    <w:rsid w:val="007912AB"/>
    <w:rsid w:val="007931AF"/>
    <w:rsid w:val="007948F2"/>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4BF"/>
    <w:rsid w:val="007D08F7"/>
    <w:rsid w:val="007D1454"/>
    <w:rsid w:val="007D2544"/>
    <w:rsid w:val="007D449C"/>
    <w:rsid w:val="007D7756"/>
    <w:rsid w:val="007E06F6"/>
    <w:rsid w:val="007E4288"/>
    <w:rsid w:val="007E48A3"/>
    <w:rsid w:val="007F0DA2"/>
    <w:rsid w:val="007F3C4D"/>
    <w:rsid w:val="007F6207"/>
    <w:rsid w:val="00802DE2"/>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425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D7324"/>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9D9"/>
    <w:rsid w:val="00A63B51"/>
    <w:rsid w:val="00A63C20"/>
    <w:rsid w:val="00A73072"/>
    <w:rsid w:val="00A74F51"/>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82D"/>
    <w:rsid w:val="00AC3AFE"/>
    <w:rsid w:val="00AC3C50"/>
    <w:rsid w:val="00AC416C"/>
    <w:rsid w:val="00AC5EF6"/>
    <w:rsid w:val="00AD0060"/>
    <w:rsid w:val="00AD1E2A"/>
    <w:rsid w:val="00AD2E0F"/>
    <w:rsid w:val="00AD2EA6"/>
    <w:rsid w:val="00AD3FFF"/>
    <w:rsid w:val="00AD4A11"/>
    <w:rsid w:val="00AD59C0"/>
    <w:rsid w:val="00AD72FA"/>
    <w:rsid w:val="00AE0569"/>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DF9"/>
    <w:rsid w:val="00B745C3"/>
    <w:rsid w:val="00B751AE"/>
    <w:rsid w:val="00B76EDD"/>
    <w:rsid w:val="00B80EF0"/>
    <w:rsid w:val="00B8517E"/>
    <w:rsid w:val="00B9194A"/>
    <w:rsid w:val="00B91F9D"/>
    <w:rsid w:val="00B9219C"/>
    <w:rsid w:val="00B92466"/>
    <w:rsid w:val="00B93162"/>
    <w:rsid w:val="00B95681"/>
    <w:rsid w:val="00B96173"/>
    <w:rsid w:val="00BA0733"/>
    <w:rsid w:val="00BA08FC"/>
    <w:rsid w:val="00BA1A3F"/>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250B"/>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4399F"/>
    <w:rsid w:val="00D439E1"/>
    <w:rsid w:val="00D442F9"/>
    <w:rsid w:val="00D46A28"/>
    <w:rsid w:val="00D47BA4"/>
    <w:rsid w:val="00D47C6C"/>
    <w:rsid w:val="00D50170"/>
    <w:rsid w:val="00D50928"/>
    <w:rsid w:val="00D50999"/>
    <w:rsid w:val="00D525EB"/>
    <w:rsid w:val="00D52E7B"/>
    <w:rsid w:val="00D5464A"/>
    <w:rsid w:val="00D54A83"/>
    <w:rsid w:val="00D55340"/>
    <w:rsid w:val="00D56576"/>
    <w:rsid w:val="00D57FF1"/>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6F11"/>
    <w:rsid w:val="00DA7E70"/>
    <w:rsid w:val="00DB06DD"/>
    <w:rsid w:val="00DB0E86"/>
    <w:rsid w:val="00DB1310"/>
    <w:rsid w:val="00DB285A"/>
    <w:rsid w:val="00DB4719"/>
    <w:rsid w:val="00DC0450"/>
    <w:rsid w:val="00DC18CE"/>
    <w:rsid w:val="00DC2451"/>
    <w:rsid w:val="00DC3263"/>
    <w:rsid w:val="00DC3E30"/>
    <w:rsid w:val="00DC43E8"/>
    <w:rsid w:val="00DC5835"/>
    <w:rsid w:val="00DC6068"/>
    <w:rsid w:val="00DC72DE"/>
    <w:rsid w:val="00DD0E36"/>
    <w:rsid w:val="00DD0EB4"/>
    <w:rsid w:val="00DD2C60"/>
    <w:rsid w:val="00DD4FFD"/>
    <w:rsid w:val="00DD5B88"/>
    <w:rsid w:val="00DE2CC3"/>
    <w:rsid w:val="00DF1960"/>
    <w:rsid w:val="00DF633F"/>
    <w:rsid w:val="00E026FE"/>
    <w:rsid w:val="00E0696E"/>
    <w:rsid w:val="00E06A9A"/>
    <w:rsid w:val="00E07BC3"/>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13BC"/>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6C30"/>
    <w:rsid w:val="00F61CD4"/>
    <w:rsid w:val="00F651DB"/>
    <w:rsid w:val="00F666E2"/>
    <w:rsid w:val="00F67D80"/>
    <w:rsid w:val="00F7168D"/>
    <w:rsid w:val="00F72A7B"/>
    <w:rsid w:val="00F73701"/>
    <w:rsid w:val="00F744E9"/>
    <w:rsid w:val="00F76E96"/>
    <w:rsid w:val="00F8101E"/>
    <w:rsid w:val="00F83228"/>
    <w:rsid w:val="00F83FD5"/>
    <w:rsid w:val="00F84E40"/>
    <w:rsid w:val="00F854B4"/>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D748"/>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E07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4040">
      <w:bodyDiv w:val="1"/>
      <w:marLeft w:val="0"/>
      <w:marRight w:val="0"/>
      <w:marTop w:val="0"/>
      <w:marBottom w:val="0"/>
      <w:divBdr>
        <w:top w:val="none" w:sz="0" w:space="0" w:color="auto"/>
        <w:left w:val="none" w:sz="0" w:space="0" w:color="auto"/>
        <w:bottom w:val="none" w:sz="0" w:space="0" w:color="auto"/>
        <w:right w:val="none" w:sz="0" w:space="0" w:color="auto"/>
      </w:divBdr>
    </w:div>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197089448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raukeang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Tina Reiter</cp:lastModifiedBy>
  <cp:revision>4</cp:revision>
  <cp:lastPrinted>2021-03-04T12:12:00Z</cp:lastPrinted>
  <dcterms:created xsi:type="dcterms:W3CDTF">2021-03-04T12:12:00Z</dcterms:created>
  <dcterms:modified xsi:type="dcterms:W3CDTF">2023-03-30T10:49:00Z</dcterms:modified>
</cp:coreProperties>
</file>