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504A" w14:textId="3FB24B36" w:rsidR="00006DFC" w:rsidRDefault="007E4547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 w:rsidRPr="007E4547">
        <w:rPr>
          <w:rFonts w:ascii="Calibri" w:hAnsi="Calibr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0233AA8B" wp14:editId="2BD2B0BE">
            <wp:simplePos x="0" y="0"/>
            <wp:positionH relativeFrom="margin">
              <wp:posOffset>2897505</wp:posOffset>
            </wp:positionH>
            <wp:positionV relativeFrom="paragraph">
              <wp:posOffset>165735</wp:posOffset>
            </wp:positionV>
            <wp:extent cx="2849880" cy="3245485"/>
            <wp:effectExtent l="57150" t="57150" r="102870" b="882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2454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4DF61" w14:textId="0C8EBB81" w:rsidR="00F452BD" w:rsidRDefault="00F452BD" w:rsidP="001D095C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</w:p>
    <w:p w14:paraId="4A5E99F5" w14:textId="22A21953" w:rsidR="007E4547" w:rsidRPr="007E4547" w:rsidRDefault="00330E86" w:rsidP="00A94E97">
      <w:pPr>
        <w:tabs>
          <w:tab w:val="left" w:pos="4536"/>
          <w:tab w:val="left" w:pos="7797"/>
        </w:tabs>
        <w:rPr>
          <w:rFonts w:ascii="Calibri" w:hAnsi="Calibri"/>
          <w:sz w:val="28"/>
          <w:szCs w:val="28"/>
          <w:lang w:val="en-US"/>
        </w:rPr>
      </w:pPr>
      <w:r w:rsidRPr="007E4547">
        <w:rPr>
          <w:rFonts w:ascii="Calibri" w:hAnsi="Calibri"/>
          <w:noProof/>
          <w:sz w:val="28"/>
          <w:szCs w:val="28"/>
          <w:lang w:val="en-US" w:eastAsia="de-AT"/>
        </w:rPr>
        <w:t>Maria Theresia Rössler</w:t>
      </w:r>
      <w:r w:rsidR="007E4547" w:rsidRPr="007E4547">
        <w:rPr>
          <w:rFonts w:ascii="Calibri" w:hAnsi="Calibri"/>
          <w:sz w:val="28"/>
          <w:szCs w:val="28"/>
          <w:lang w:val="en-US"/>
        </w:rPr>
        <w:t xml:space="preserve"> | </w:t>
      </w:r>
    </w:p>
    <w:p w14:paraId="1CCA646E" w14:textId="1A65B1B1" w:rsidR="00A94E97" w:rsidRPr="007E4547" w:rsidRDefault="00330E86" w:rsidP="00A94E97">
      <w:pPr>
        <w:tabs>
          <w:tab w:val="left" w:pos="4536"/>
          <w:tab w:val="left" w:pos="7797"/>
        </w:tabs>
        <w:rPr>
          <w:rFonts w:ascii="Calibri" w:hAnsi="Calibri"/>
          <w:sz w:val="28"/>
          <w:szCs w:val="28"/>
          <w:lang w:val="en-US"/>
        </w:rPr>
      </w:pPr>
      <w:r w:rsidRPr="007E4547">
        <w:rPr>
          <w:rFonts w:ascii="Calibri" w:hAnsi="Calibri"/>
          <w:sz w:val="28"/>
          <w:szCs w:val="28"/>
          <w:lang w:val="en-US"/>
        </w:rPr>
        <w:t>Gudrun Sulzenbacher</w:t>
      </w:r>
    </w:p>
    <w:p w14:paraId="1B7BA1C9" w14:textId="77777777" w:rsidR="00A94E97" w:rsidRPr="007E4547" w:rsidRDefault="00330E86" w:rsidP="00A94E97">
      <w:pPr>
        <w:tabs>
          <w:tab w:val="left" w:pos="4536"/>
          <w:tab w:val="left" w:pos="7797"/>
        </w:tabs>
        <w:rPr>
          <w:rFonts w:ascii="Calibri" w:hAnsi="Calibri"/>
          <w:b/>
          <w:sz w:val="32"/>
          <w:szCs w:val="32"/>
        </w:rPr>
      </w:pPr>
      <w:r w:rsidRPr="007E4547">
        <w:rPr>
          <w:rFonts w:ascii="Calibri" w:hAnsi="Calibri"/>
          <w:b/>
          <w:sz w:val="32"/>
          <w:szCs w:val="32"/>
        </w:rPr>
        <w:t>Neue Leserezepte</w:t>
      </w:r>
    </w:p>
    <w:p w14:paraId="70FA5CFB" w14:textId="77777777" w:rsidR="00A94E97" w:rsidRPr="007E4547" w:rsidRDefault="00330E86" w:rsidP="00A94E97">
      <w:pPr>
        <w:tabs>
          <w:tab w:val="left" w:pos="4536"/>
          <w:tab w:val="left" w:pos="7797"/>
        </w:tabs>
        <w:ind w:right="-284"/>
        <w:rPr>
          <w:rFonts w:ascii="Calibri" w:hAnsi="Calibri"/>
          <w:spacing w:val="-3"/>
        </w:rPr>
      </w:pPr>
      <w:r w:rsidRPr="007E4547">
        <w:rPr>
          <w:rFonts w:ascii="Calibri" w:hAnsi="Calibri"/>
          <w:spacing w:val="-3"/>
        </w:rPr>
        <w:t>Kreative Methoden</w:t>
      </w:r>
    </w:p>
    <w:p w14:paraId="4FCDF587" w14:textId="77777777" w:rsidR="00330E86" w:rsidRPr="000E3FBB" w:rsidRDefault="00330E86" w:rsidP="00A94E97">
      <w:pPr>
        <w:tabs>
          <w:tab w:val="left" w:pos="4536"/>
          <w:tab w:val="left" w:pos="7797"/>
        </w:tabs>
        <w:ind w:right="-284"/>
        <w:rPr>
          <w:rFonts w:ascii="Calibri" w:hAnsi="Calibri"/>
          <w:spacing w:val="-3"/>
          <w:sz w:val="22"/>
        </w:rPr>
      </w:pPr>
    </w:p>
    <w:p w14:paraId="2B512F0F" w14:textId="77777777" w:rsidR="001B401E" w:rsidRPr="00610C8D" w:rsidRDefault="001B401E" w:rsidP="001D095C">
      <w:pPr>
        <w:tabs>
          <w:tab w:val="left" w:pos="7797"/>
        </w:tabs>
        <w:rPr>
          <w:rFonts w:ascii="Calibri" w:hAnsi="Calibri"/>
        </w:rPr>
      </w:pPr>
    </w:p>
    <w:p w14:paraId="64872551" w14:textId="77777777" w:rsidR="00B26C7C" w:rsidRPr="002C34F2" w:rsidRDefault="00330E86" w:rsidP="001D095C">
      <w:pPr>
        <w:tabs>
          <w:tab w:val="left" w:pos="779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160</w:t>
      </w:r>
      <w:r w:rsidR="001B401E">
        <w:rPr>
          <w:rFonts w:ascii="Calibri" w:hAnsi="Calibri"/>
          <w:i/>
          <w:sz w:val="22"/>
        </w:rPr>
        <w:t xml:space="preserve"> </w:t>
      </w:r>
      <w:r w:rsidR="00D50B90" w:rsidRPr="002C34F2">
        <w:rPr>
          <w:rFonts w:ascii="Calibri" w:hAnsi="Calibri"/>
          <w:i/>
          <w:sz w:val="22"/>
        </w:rPr>
        <w:t>Seiten,</w:t>
      </w:r>
      <w:r w:rsidR="001B401E">
        <w:rPr>
          <w:rFonts w:ascii="Calibri" w:hAnsi="Calibri"/>
          <w:i/>
          <w:sz w:val="22"/>
        </w:rPr>
        <w:t xml:space="preserve"> durchgehend farbig illustriert</w:t>
      </w:r>
    </w:p>
    <w:p w14:paraId="2FAF9095" w14:textId="77777777" w:rsidR="00D50B90" w:rsidRPr="002C34F2" w:rsidRDefault="00330E86" w:rsidP="001D095C">
      <w:pPr>
        <w:tabs>
          <w:tab w:val="left" w:pos="7797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21</w:t>
      </w:r>
      <w:r w:rsidR="000928AC">
        <w:rPr>
          <w:rFonts w:ascii="Calibri" w:hAnsi="Calibri"/>
          <w:i/>
          <w:sz w:val="22"/>
        </w:rPr>
        <w:t xml:space="preserve"> x 2</w:t>
      </w:r>
      <w:r>
        <w:rPr>
          <w:rFonts w:ascii="Calibri" w:hAnsi="Calibri"/>
          <w:i/>
          <w:sz w:val="22"/>
        </w:rPr>
        <w:t>4</w:t>
      </w:r>
      <w:r w:rsidR="00C45C43" w:rsidRPr="002C34F2">
        <w:rPr>
          <w:rFonts w:ascii="Calibri" w:hAnsi="Calibri"/>
          <w:i/>
          <w:sz w:val="22"/>
        </w:rPr>
        <w:t xml:space="preserve"> cm; </w:t>
      </w:r>
      <w:r w:rsidR="000928AC">
        <w:rPr>
          <w:rFonts w:ascii="Calibri" w:hAnsi="Calibri"/>
          <w:i/>
          <w:sz w:val="22"/>
        </w:rPr>
        <w:t>gebunden</w:t>
      </w:r>
    </w:p>
    <w:p w14:paraId="7D4A7D24" w14:textId="77777777" w:rsidR="00246DED" w:rsidRPr="002C34F2" w:rsidRDefault="00246DED" w:rsidP="001D095C">
      <w:pPr>
        <w:tabs>
          <w:tab w:val="left" w:pos="779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>Tyr</w:t>
      </w:r>
      <w:r w:rsidR="00CD7082" w:rsidRPr="002C34F2">
        <w:rPr>
          <w:rFonts w:ascii="Calibri" w:hAnsi="Calibri"/>
          <w:i/>
          <w:sz w:val="22"/>
        </w:rPr>
        <w:t>olia-Verlag, Innsbruck</w:t>
      </w:r>
      <w:r w:rsidR="00480E14" w:rsidRPr="002C34F2">
        <w:rPr>
          <w:rFonts w:ascii="Calibri" w:hAnsi="Calibri"/>
          <w:i/>
          <w:sz w:val="22"/>
        </w:rPr>
        <w:t>–</w:t>
      </w:r>
      <w:r w:rsidR="00F452BD" w:rsidRPr="002C34F2">
        <w:rPr>
          <w:rFonts w:ascii="Calibri" w:hAnsi="Calibri"/>
          <w:i/>
          <w:sz w:val="22"/>
        </w:rPr>
        <w:t>Wien 201</w:t>
      </w:r>
      <w:r w:rsidR="001B401E">
        <w:rPr>
          <w:rFonts w:ascii="Calibri" w:hAnsi="Calibri"/>
          <w:i/>
          <w:sz w:val="22"/>
        </w:rPr>
        <w:t>6</w:t>
      </w:r>
    </w:p>
    <w:p w14:paraId="2DAFC631" w14:textId="77777777" w:rsidR="00D50B90" w:rsidRPr="002C34F2" w:rsidRDefault="00D50B90" w:rsidP="001D095C">
      <w:pPr>
        <w:tabs>
          <w:tab w:val="left" w:pos="297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>ISBN 978-3-7022-</w:t>
      </w:r>
      <w:r w:rsidR="00330E86">
        <w:rPr>
          <w:rFonts w:ascii="Calibri" w:hAnsi="Calibri"/>
          <w:i/>
          <w:sz w:val="22"/>
        </w:rPr>
        <w:t>3544-4</w:t>
      </w:r>
    </w:p>
    <w:p w14:paraId="4B52FFDF" w14:textId="7E7EDC3D" w:rsidR="003438FF" w:rsidRPr="002C34F2" w:rsidRDefault="0099330E" w:rsidP="001D095C">
      <w:pPr>
        <w:tabs>
          <w:tab w:val="left" w:pos="2977"/>
        </w:tabs>
        <w:rPr>
          <w:rFonts w:ascii="Calibri" w:hAnsi="Calibri"/>
          <w:i/>
          <w:sz w:val="22"/>
        </w:rPr>
      </w:pPr>
      <w:r w:rsidRPr="002C34F2">
        <w:rPr>
          <w:rFonts w:ascii="Calibri" w:hAnsi="Calibri"/>
          <w:i/>
          <w:sz w:val="22"/>
        </w:rPr>
        <w:t xml:space="preserve">€ </w:t>
      </w:r>
      <w:r w:rsidR="007E4547">
        <w:rPr>
          <w:rFonts w:ascii="Calibri" w:hAnsi="Calibri"/>
          <w:i/>
          <w:sz w:val="22"/>
        </w:rPr>
        <w:t>24</w:t>
      </w:r>
      <w:r w:rsidR="001D095C" w:rsidRPr="002C34F2">
        <w:rPr>
          <w:rFonts w:ascii="Calibri" w:hAnsi="Calibri"/>
          <w:i/>
          <w:sz w:val="22"/>
        </w:rPr>
        <w:t xml:space="preserve"> </w:t>
      </w:r>
    </w:p>
    <w:p w14:paraId="4A2EDF15" w14:textId="77777777" w:rsidR="003438FF" w:rsidRDefault="003438FF" w:rsidP="001D095C">
      <w:pPr>
        <w:tabs>
          <w:tab w:val="left" w:pos="7797"/>
        </w:tabs>
        <w:rPr>
          <w:rFonts w:ascii="Calibri" w:hAnsi="Calibri"/>
          <w:i/>
        </w:rPr>
      </w:pPr>
    </w:p>
    <w:p w14:paraId="03311701" w14:textId="77777777" w:rsidR="00A94E97" w:rsidRDefault="00A94E97" w:rsidP="001D095C">
      <w:pPr>
        <w:tabs>
          <w:tab w:val="left" w:pos="7797"/>
        </w:tabs>
        <w:rPr>
          <w:rFonts w:ascii="Calibri" w:hAnsi="Calibri"/>
          <w:i/>
        </w:rPr>
      </w:pPr>
    </w:p>
    <w:p w14:paraId="0D4C23D5" w14:textId="77777777" w:rsidR="00E850F7" w:rsidRDefault="00E850F7" w:rsidP="00A94E97">
      <w:pPr>
        <w:tabs>
          <w:tab w:val="left" w:pos="7797"/>
        </w:tabs>
        <w:rPr>
          <w:rFonts w:ascii="Calibri" w:hAnsi="Calibri" w:cs="Calibri"/>
          <w:b/>
        </w:rPr>
      </w:pPr>
    </w:p>
    <w:p w14:paraId="233615B6" w14:textId="7D3362C1" w:rsidR="00330E86" w:rsidRDefault="007E4547" w:rsidP="00330E86">
      <w:pPr>
        <w:rPr>
          <w:rFonts w:asciiTheme="minorHAnsi" w:eastAsiaTheme="minorHAnsi" w:hAnsiTheme="minorHAnsi" w:cstheme="minorBidi"/>
          <w:b/>
          <w:szCs w:val="22"/>
          <w:lang w:val="de-AT" w:eastAsia="en-US"/>
        </w:rPr>
      </w:pPr>
      <w:r w:rsidRPr="007E4547">
        <w:rPr>
          <w:rFonts w:asciiTheme="minorHAnsi" w:eastAsiaTheme="minorHAnsi" w:hAnsiTheme="minorHAnsi" w:cstheme="minorBidi"/>
          <w:b/>
          <w:szCs w:val="22"/>
          <w:lang w:val="de-AT" w:eastAsia="en-US"/>
        </w:rPr>
        <w:t>Leseförderung für 5- bis 15-Jährige</w:t>
      </w:r>
    </w:p>
    <w:p w14:paraId="0E697374" w14:textId="77777777" w:rsidR="007E4547" w:rsidRPr="00A346B4" w:rsidRDefault="007E4547" w:rsidP="00330E86">
      <w:pPr>
        <w:rPr>
          <w:rFonts w:asciiTheme="minorHAnsi" w:hAnsiTheme="minorHAnsi" w:cs="Calibri"/>
          <w:sz w:val="28"/>
          <w:szCs w:val="22"/>
        </w:rPr>
      </w:pPr>
    </w:p>
    <w:p w14:paraId="6CEBACCC" w14:textId="77777777" w:rsidR="00330E86" w:rsidRPr="00A346B4" w:rsidRDefault="00330E86" w:rsidP="00330E86">
      <w:pPr>
        <w:rPr>
          <w:rFonts w:asciiTheme="minorHAnsi" w:eastAsiaTheme="minorHAnsi" w:hAnsiTheme="minorHAnsi" w:cstheme="minorBidi"/>
          <w:szCs w:val="22"/>
          <w:lang w:val="de-AT" w:eastAsia="en-US"/>
        </w:rPr>
      </w:pPr>
      <w:r w:rsidRPr="00A346B4">
        <w:rPr>
          <w:rFonts w:asciiTheme="minorHAnsi" w:eastAsiaTheme="minorHAnsi" w:hAnsiTheme="minorHAnsi" w:cstheme="minorBidi"/>
          <w:szCs w:val="22"/>
          <w:lang w:val="de-AT" w:eastAsia="en-US"/>
        </w:rPr>
        <w:t>Diese Methoden-Sammlung für Schule und Bibliothek ist der lang erwartete Folgeband zum literaturdidaktischen Handbuch „Lese-Rezepte“ von Elfi Fritsche und Gudrun Sulzenbacher.</w:t>
      </w:r>
    </w:p>
    <w:p w14:paraId="28510B77" w14:textId="77777777" w:rsidR="00330E86" w:rsidRPr="00A346B4" w:rsidRDefault="00330E86" w:rsidP="00330E86">
      <w:pPr>
        <w:rPr>
          <w:rFonts w:asciiTheme="minorHAnsi" w:eastAsiaTheme="minorHAnsi" w:hAnsiTheme="minorHAnsi" w:cstheme="minorBidi"/>
          <w:szCs w:val="22"/>
          <w:lang w:val="de-AT" w:eastAsia="en-US"/>
        </w:rPr>
      </w:pPr>
      <w:r w:rsidRPr="00A346B4">
        <w:rPr>
          <w:rFonts w:asciiTheme="minorHAnsi" w:eastAsiaTheme="minorHAnsi" w:hAnsiTheme="minorHAnsi" w:cstheme="minorBidi"/>
          <w:szCs w:val="22"/>
          <w:lang w:val="de-AT" w:eastAsia="en-US"/>
        </w:rPr>
        <w:t>Auch diesmal wird jede Methode Schritt für Schritt erklärt, veranschaulichen Fotos aus dem Unterricht die Anleitungen und</w:t>
      </w:r>
      <w:r>
        <w:rPr>
          <w:rFonts w:asciiTheme="minorHAnsi" w:eastAsiaTheme="minorHAnsi" w:hAnsiTheme="minorHAnsi" w:cstheme="minorBidi"/>
          <w:szCs w:val="22"/>
          <w:lang w:val="de-AT" w:eastAsia="en-US"/>
        </w:rPr>
        <w:t xml:space="preserve"> </w:t>
      </w:r>
      <w:r w:rsidRPr="00A346B4">
        <w:rPr>
          <w:rFonts w:asciiTheme="minorHAnsi" w:eastAsiaTheme="minorHAnsi" w:hAnsiTheme="minorHAnsi" w:cstheme="minorBidi"/>
          <w:szCs w:val="22"/>
          <w:lang w:val="de-AT" w:eastAsia="en-US"/>
        </w:rPr>
        <w:t xml:space="preserve">wurden alle Vorschläge gründlich erprobt. Auch die neuen Rezepte sind leicht nachzumachen, erfordern wenig Aufwand, binden die ganze Gruppe ein und garantieren den Erfolg. </w:t>
      </w:r>
    </w:p>
    <w:p w14:paraId="4831A9B9" w14:textId="4D833CF3" w:rsidR="00330E86" w:rsidRPr="00A346B4" w:rsidRDefault="00330E86" w:rsidP="00330E86">
      <w:pPr>
        <w:rPr>
          <w:rFonts w:asciiTheme="minorHAnsi" w:eastAsiaTheme="minorHAnsi" w:hAnsiTheme="minorHAnsi" w:cstheme="minorBidi"/>
          <w:szCs w:val="22"/>
          <w:lang w:val="de-AT" w:eastAsia="en-US"/>
        </w:rPr>
      </w:pPr>
      <w:r w:rsidRPr="00A346B4">
        <w:rPr>
          <w:rFonts w:asciiTheme="minorHAnsi" w:eastAsiaTheme="minorHAnsi" w:hAnsiTheme="minorHAnsi" w:cstheme="minorBidi"/>
          <w:szCs w:val="22"/>
          <w:lang w:val="de-AT" w:eastAsia="en-US"/>
        </w:rPr>
        <w:t xml:space="preserve">Der Schwerpunkt liegt </w:t>
      </w:r>
      <w:r w:rsidR="007E4547">
        <w:rPr>
          <w:rFonts w:asciiTheme="minorHAnsi" w:eastAsiaTheme="minorHAnsi" w:hAnsiTheme="minorHAnsi" w:cstheme="minorBidi"/>
          <w:szCs w:val="22"/>
          <w:lang w:val="de-AT" w:eastAsia="en-US"/>
        </w:rPr>
        <w:t>hier</w:t>
      </w:r>
      <w:r w:rsidRPr="00A346B4">
        <w:rPr>
          <w:rFonts w:asciiTheme="minorHAnsi" w:eastAsiaTheme="minorHAnsi" w:hAnsiTheme="minorHAnsi" w:cstheme="minorBidi"/>
          <w:szCs w:val="22"/>
          <w:lang w:val="de-AT" w:eastAsia="en-US"/>
        </w:rPr>
        <w:t xml:space="preserve"> auf dem Thema „Bilder lesen“: In zwölf pfiffigen „Galerie“-Besuchen erleben Kinder und Jugendliche eine kleine Schule des Sehens, in der achtsam geschaut, viel verglichen, lustvoll geknobelt, genau hinterfragt, wild spekuliert und leidenschaftlich argumentiert wird.</w:t>
      </w:r>
    </w:p>
    <w:p w14:paraId="344901B6" w14:textId="77777777" w:rsidR="00330E86" w:rsidRPr="00A346B4" w:rsidRDefault="00330E86" w:rsidP="00330E86">
      <w:pPr>
        <w:rPr>
          <w:rFonts w:asciiTheme="minorHAnsi" w:eastAsiaTheme="minorHAnsi" w:hAnsiTheme="minorHAnsi" w:cstheme="minorBidi"/>
          <w:szCs w:val="22"/>
          <w:lang w:val="de-AT" w:eastAsia="en-US"/>
        </w:rPr>
      </w:pPr>
      <w:r w:rsidRPr="00A346B4">
        <w:rPr>
          <w:rFonts w:asciiTheme="minorHAnsi" w:eastAsiaTheme="minorHAnsi" w:hAnsiTheme="minorHAnsi" w:cstheme="minorBidi"/>
          <w:szCs w:val="22"/>
          <w:lang w:val="de-AT" w:eastAsia="en-US"/>
        </w:rPr>
        <w:t xml:space="preserve">Auch im neuen Handbuch werden die Schlüsselkompetenzen Lesen, Hören, Sprechen und Schreiben auf natürliche Weise miteinander verknüpft. Neu ist diesmal deren Einbindung in größere Projekte – und das besondere Augenmerk auf das Optische. </w:t>
      </w:r>
    </w:p>
    <w:p w14:paraId="6FD38558" w14:textId="77777777" w:rsidR="00330E86" w:rsidRPr="00A346B4" w:rsidRDefault="00330E86" w:rsidP="00330E86">
      <w:pPr>
        <w:rPr>
          <w:rFonts w:asciiTheme="minorHAnsi" w:eastAsiaTheme="minorHAnsi" w:hAnsiTheme="minorHAnsi" w:cstheme="minorBidi"/>
          <w:szCs w:val="22"/>
          <w:lang w:val="de-AT" w:eastAsia="en-US"/>
        </w:rPr>
      </w:pPr>
    </w:p>
    <w:p w14:paraId="20AF8632" w14:textId="77777777" w:rsidR="00330E86" w:rsidRPr="00A346B4" w:rsidRDefault="00330E86" w:rsidP="00330E86">
      <w:pPr>
        <w:rPr>
          <w:rFonts w:asciiTheme="minorHAnsi" w:eastAsiaTheme="minorHAnsi" w:hAnsiTheme="minorHAnsi" w:cstheme="minorBidi"/>
          <w:b/>
          <w:szCs w:val="22"/>
          <w:lang w:val="de-AT" w:eastAsia="en-US"/>
        </w:rPr>
      </w:pPr>
      <w:r>
        <w:rPr>
          <w:rFonts w:asciiTheme="minorHAnsi" w:eastAsiaTheme="minorHAnsi" w:hAnsiTheme="minorHAnsi" w:cstheme="minorBidi"/>
          <w:b/>
          <w:szCs w:val="22"/>
          <w:lang w:val="de-AT" w:eastAsia="en-US"/>
        </w:rPr>
        <w:t>Mit Liv</w:t>
      </w:r>
      <w:r w:rsidRPr="00A346B4">
        <w:rPr>
          <w:rFonts w:asciiTheme="minorHAnsi" w:eastAsiaTheme="minorHAnsi" w:hAnsiTheme="minorHAnsi" w:cstheme="minorBidi"/>
          <w:b/>
          <w:szCs w:val="22"/>
          <w:lang w:val="de-AT" w:eastAsia="en-US"/>
        </w:rPr>
        <w:t>e-Fotos aus Schule und Bibliothek</w:t>
      </w:r>
    </w:p>
    <w:p w14:paraId="08BBDE25" w14:textId="77777777" w:rsidR="00A94E97" w:rsidRPr="00330E86" w:rsidRDefault="00A94E97" w:rsidP="00A94E97">
      <w:pPr>
        <w:tabs>
          <w:tab w:val="left" w:pos="7797"/>
        </w:tabs>
        <w:rPr>
          <w:rFonts w:ascii="Calibri" w:hAnsi="Calibri" w:cs="Calibri"/>
          <w:lang w:val="de-AT"/>
        </w:rPr>
      </w:pPr>
    </w:p>
    <w:p w14:paraId="0AC675C0" w14:textId="77777777" w:rsidR="00330E86" w:rsidRDefault="00330E86" w:rsidP="00330E86">
      <w:pPr>
        <w:rPr>
          <w:rFonts w:asciiTheme="minorHAnsi" w:hAnsiTheme="minorHAnsi" w:cstheme="minorHAnsi"/>
          <w:b/>
          <w:i/>
        </w:rPr>
      </w:pPr>
      <w:r w:rsidRPr="00A346B4">
        <w:rPr>
          <w:rFonts w:asciiTheme="minorHAnsi" w:hAnsiTheme="minorHAnsi" w:cstheme="minorHAnsi"/>
          <w:b/>
          <w:i/>
        </w:rPr>
        <w:t>Die Autorinnen</w:t>
      </w:r>
    </w:p>
    <w:p w14:paraId="7AA00C35" w14:textId="77777777" w:rsidR="00330E86" w:rsidRPr="00A346B4" w:rsidRDefault="00330E86" w:rsidP="00330E86">
      <w:pPr>
        <w:rPr>
          <w:rFonts w:asciiTheme="minorHAnsi" w:hAnsiTheme="minorHAnsi" w:cstheme="minorHAnsi"/>
          <w:b/>
          <w:i/>
        </w:rPr>
      </w:pPr>
    </w:p>
    <w:p w14:paraId="690135B4" w14:textId="77777777" w:rsidR="00330E86" w:rsidRPr="00A346B4" w:rsidRDefault="00330E86" w:rsidP="00330E86">
      <w:pPr>
        <w:pStyle w:val="msonormalcxspmiddle"/>
        <w:spacing w:before="0" w:beforeAutospacing="0" w:after="0" w:afterAutospacing="0"/>
        <w:contextualSpacing/>
        <w:rPr>
          <w:rFonts w:asciiTheme="minorHAnsi" w:hAnsiTheme="minorHAnsi"/>
        </w:rPr>
      </w:pPr>
      <w:r w:rsidRPr="00A346B4">
        <w:rPr>
          <w:rFonts w:asciiTheme="minorHAnsi" w:hAnsiTheme="minorHAnsi"/>
          <w:smallCaps/>
        </w:rPr>
        <w:t>Maria Theresia Rössler</w:t>
      </w:r>
      <w:r w:rsidRPr="00A346B4">
        <w:rPr>
          <w:rFonts w:asciiTheme="minorHAnsi" w:hAnsiTheme="minorHAnsi"/>
        </w:rPr>
        <w:t xml:space="preserve"> hat 1999 das Jugend- und Kinderbuchzentrum JUKIBUZ in Bozen gegründet und es elf Jahre lang geleitet. Sie leitet Schreibwerkstätten für Kinder</w:t>
      </w:r>
      <w:r>
        <w:rPr>
          <w:rFonts w:asciiTheme="minorHAnsi" w:hAnsiTheme="minorHAnsi"/>
        </w:rPr>
        <w:t>. A</w:t>
      </w:r>
      <w:r w:rsidRPr="00A346B4">
        <w:rPr>
          <w:rFonts w:asciiTheme="minorHAnsi" w:hAnsiTheme="minorHAnsi"/>
        </w:rPr>
        <w:t>ls Autorin von bislang vier Bilderbüchern hält sie Lesungen und berät Veranstalter</w:t>
      </w:r>
      <w:r>
        <w:rPr>
          <w:rFonts w:asciiTheme="minorHAnsi" w:hAnsiTheme="minorHAnsi"/>
        </w:rPr>
        <w:t>Innen</w:t>
      </w:r>
      <w:r w:rsidRPr="00A346B4">
        <w:rPr>
          <w:rFonts w:asciiTheme="minorHAnsi" w:hAnsiTheme="minorHAnsi"/>
        </w:rPr>
        <w:t xml:space="preserve"> bei der Entwicklung von Leseprojekten.</w:t>
      </w:r>
    </w:p>
    <w:p w14:paraId="6E761C52" w14:textId="77777777" w:rsidR="00330E86" w:rsidRPr="00A346B4" w:rsidRDefault="00330E86" w:rsidP="00330E86">
      <w:pPr>
        <w:pStyle w:val="msonormalcxspmiddle"/>
        <w:spacing w:before="0" w:beforeAutospacing="0" w:after="0" w:afterAutospacing="0"/>
        <w:contextualSpacing/>
        <w:rPr>
          <w:rFonts w:asciiTheme="minorHAnsi" w:hAnsiTheme="minorHAnsi"/>
        </w:rPr>
      </w:pPr>
    </w:p>
    <w:p w14:paraId="44295F23" w14:textId="77777777" w:rsidR="00A94E97" w:rsidRDefault="00330E86" w:rsidP="00330E86">
      <w:pPr>
        <w:rPr>
          <w:rFonts w:ascii="Calibri" w:hAnsi="Calibri" w:cs="Calibri"/>
        </w:rPr>
      </w:pPr>
      <w:r w:rsidRPr="00A346B4">
        <w:rPr>
          <w:rFonts w:asciiTheme="minorHAnsi" w:hAnsiTheme="minorHAnsi"/>
          <w:smallCaps/>
        </w:rPr>
        <w:t>Gudrun Sulzenbacher</w:t>
      </w:r>
      <w:r w:rsidRPr="00A346B4">
        <w:rPr>
          <w:rFonts w:asciiTheme="minorHAnsi" w:hAnsiTheme="minorHAnsi"/>
        </w:rPr>
        <w:t xml:space="preserve"> ist seit 1998 als freischaffende Autorin und Referentin für Lesedidaktik im In- und Ausland unterwegs. Ihr Bestseller „Die Gletschermumie“ wurde mit dem Österreichischen Kinder- und Jugendbuchpreis ausgezeichnet und in viele Sprachen übersetzt.</w:t>
      </w:r>
    </w:p>
    <w:sectPr w:rsidR="00A94E97" w:rsidSect="001D095C">
      <w:headerReference w:type="default" r:id="rId8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E640" w14:textId="77777777" w:rsidR="0099415E" w:rsidRDefault="0099415E">
      <w:r>
        <w:separator/>
      </w:r>
    </w:p>
  </w:endnote>
  <w:endnote w:type="continuationSeparator" w:id="0">
    <w:p w14:paraId="7D532C92" w14:textId="77777777" w:rsidR="0099415E" w:rsidRDefault="0099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F81" w14:textId="77777777" w:rsidR="0099415E" w:rsidRDefault="0099415E">
      <w:r>
        <w:separator/>
      </w:r>
    </w:p>
  </w:footnote>
  <w:footnote w:type="continuationSeparator" w:id="0">
    <w:p w14:paraId="69E729B9" w14:textId="77777777" w:rsidR="0099415E" w:rsidRDefault="0099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AC6" w14:textId="77777777" w:rsidR="004C0F30" w:rsidRDefault="004C0F30" w:rsidP="004C0F30">
    <w:pPr>
      <w:pStyle w:val="berschrift3"/>
      <w:jc w:val="left"/>
      <w:rPr>
        <w:rFonts w:ascii="Calibri" w:hAnsi="Calibri" w:cs="Calibri"/>
      </w:rPr>
    </w:pPr>
  </w:p>
  <w:p w14:paraId="6D02F434" w14:textId="77777777" w:rsidR="004C0F30" w:rsidRDefault="004C0F30" w:rsidP="004C0F30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 w:rsidR="00FA3452">
      <w:rPr>
        <w:rFonts w:ascii="Calibri" w:hAnsi="Calibri" w:cs="Calibri"/>
        <w:sz w:val="24"/>
      </w:rPr>
      <w:t xml:space="preserve"> </w:t>
    </w:r>
    <w:r>
      <w:rPr>
        <w:rFonts w:ascii="Calibri" w:hAnsi="Calibri" w:cs="Calibri"/>
        <w:sz w:val="24"/>
      </w:rPr>
      <w:t>Innsbruck–Wien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046780">
    <w:abstractNumId w:val="0"/>
  </w:num>
  <w:num w:numId="2" w16cid:durableId="1105921312">
    <w:abstractNumId w:val="1"/>
  </w:num>
  <w:num w:numId="3" w16cid:durableId="1700233052">
    <w:abstractNumId w:val="3"/>
  </w:num>
  <w:num w:numId="4" w16cid:durableId="498931109">
    <w:abstractNumId w:val="2"/>
  </w:num>
  <w:num w:numId="5" w16cid:durableId="1949656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1059B1"/>
    <w:rsid w:val="001233F6"/>
    <w:rsid w:val="00147F07"/>
    <w:rsid w:val="001571A7"/>
    <w:rsid w:val="00182CA8"/>
    <w:rsid w:val="001B401E"/>
    <w:rsid w:val="001D095C"/>
    <w:rsid w:val="001D4D44"/>
    <w:rsid w:val="001D5CBA"/>
    <w:rsid w:val="001E5711"/>
    <w:rsid w:val="002042A6"/>
    <w:rsid w:val="00217A06"/>
    <w:rsid w:val="0022583B"/>
    <w:rsid w:val="00226AC2"/>
    <w:rsid w:val="00236256"/>
    <w:rsid w:val="00241BD3"/>
    <w:rsid w:val="00246DED"/>
    <w:rsid w:val="00266F08"/>
    <w:rsid w:val="0027173B"/>
    <w:rsid w:val="00274A78"/>
    <w:rsid w:val="002921E9"/>
    <w:rsid w:val="002A4FF5"/>
    <w:rsid w:val="002A68AD"/>
    <w:rsid w:val="002B1A1A"/>
    <w:rsid w:val="002C34F2"/>
    <w:rsid w:val="002E55E0"/>
    <w:rsid w:val="002E7AD8"/>
    <w:rsid w:val="002F1E94"/>
    <w:rsid w:val="0032176D"/>
    <w:rsid w:val="00330E86"/>
    <w:rsid w:val="00334765"/>
    <w:rsid w:val="003438FF"/>
    <w:rsid w:val="0037622A"/>
    <w:rsid w:val="00380F9D"/>
    <w:rsid w:val="00381683"/>
    <w:rsid w:val="003830D6"/>
    <w:rsid w:val="003C0A86"/>
    <w:rsid w:val="003C1FDC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27F55"/>
    <w:rsid w:val="00556D33"/>
    <w:rsid w:val="0056708F"/>
    <w:rsid w:val="00571293"/>
    <w:rsid w:val="005C190F"/>
    <w:rsid w:val="005D32CC"/>
    <w:rsid w:val="005F5D14"/>
    <w:rsid w:val="0060454C"/>
    <w:rsid w:val="00607CA3"/>
    <w:rsid w:val="006332E9"/>
    <w:rsid w:val="006552A9"/>
    <w:rsid w:val="00665EF4"/>
    <w:rsid w:val="006663D5"/>
    <w:rsid w:val="00671DB4"/>
    <w:rsid w:val="00692E40"/>
    <w:rsid w:val="006B29EF"/>
    <w:rsid w:val="006C6C30"/>
    <w:rsid w:val="006E39AF"/>
    <w:rsid w:val="006F3A52"/>
    <w:rsid w:val="006F4FEA"/>
    <w:rsid w:val="00736542"/>
    <w:rsid w:val="00737AD5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E4547"/>
    <w:rsid w:val="007F2D43"/>
    <w:rsid w:val="0081167D"/>
    <w:rsid w:val="00821DCF"/>
    <w:rsid w:val="00824932"/>
    <w:rsid w:val="008626B6"/>
    <w:rsid w:val="008831E7"/>
    <w:rsid w:val="00901E30"/>
    <w:rsid w:val="00910D47"/>
    <w:rsid w:val="00910DE0"/>
    <w:rsid w:val="00941168"/>
    <w:rsid w:val="009856A9"/>
    <w:rsid w:val="00986FB7"/>
    <w:rsid w:val="00991EF6"/>
    <w:rsid w:val="0099330E"/>
    <w:rsid w:val="0099415E"/>
    <w:rsid w:val="009B080D"/>
    <w:rsid w:val="009C537B"/>
    <w:rsid w:val="009C65E5"/>
    <w:rsid w:val="009F4CC1"/>
    <w:rsid w:val="00A1711E"/>
    <w:rsid w:val="00A446F9"/>
    <w:rsid w:val="00A46625"/>
    <w:rsid w:val="00A73D18"/>
    <w:rsid w:val="00A756AD"/>
    <w:rsid w:val="00A7627B"/>
    <w:rsid w:val="00A94E97"/>
    <w:rsid w:val="00A95039"/>
    <w:rsid w:val="00AC40C3"/>
    <w:rsid w:val="00AD2CFC"/>
    <w:rsid w:val="00B26C7C"/>
    <w:rsid w:val="00B368D1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A0276"/>
    <w:rsid w:val="00BA77E5"/>
    <w:rsid w:val="00BC634B"/>
    <w:rsid w:val="00BF3599"/>
    <w:rsid w:val="00C343AB"/>
    <w:rsid w:val="00C45C43"/>
    <w:rsid w:val="00C71A26"/>
    <w:rsid w:val="00C838FC"/>
    <w:rsid w:val="00CD7082"/>
    <w:rsid w:val="00D1217D"/>
    <w:rsid w:val="00D15C7E"/>
    <w:rsid w:val="00D2191B"/>
    <w:rsid w:val="00D50B90"/>
    <w:rsid w:val="00D51B7D"/>
    <w:rsid w:val="00D62211"/>
    <w:rsid w:val="00D66BF8"/>
    <w:rsid w:val="00D719D1"/>
    <w:rsid w:val="00D92009"/>
    <w:rsid w:val="00D937FD"/>
    <w:rsid w:val="00DC12D4"/>
    <w:rsid w:val="00DE64C8"/>
    <w:rsid w:val="00DF3003"/>
    <w:rsid w:val="00DF5B5A"/>
    <w:rsid w:val="00E2565C"/>
    <w:rsid w:val="00E53263"/>
    <w:rsid w:val="00E5588C"/>
    <w:rsid w:val="00E6485F"/>
    <w:rsid w:val="00E76BA7"/>
    <w:rsid w:val="00E841AD"/>
    <w:rsid w:val="00E850F7"/>
    <w:rsid w:val="00EC2062"/>
    <w:rsid w:val="00EF4059"/>
    <w:rsid w:val="00F21FA9"/>
    <w:rsid w:val="00F26419"/>
    <w:rsid w:val="00F31F65"/>
    <w:rsid w:val="00F35FBE"/>
    <w:rsid w:val="00F37215"/>
    <w:rsid w:val="00F452BD"/>
    <w:rsid w:val="00F82C72"/>
    <w:rsid w:val="00FA3452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70C8"/>
  <w15:docId w15:val="{EEDC4BC2-2555-4783-BFA2-DC67026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  <w:style w:type="paragraph" w:customStyle="1" w:styleId="msonormalcxspmiddle">
    <w:name w:val="msonormalcxspmiddle"/>
    <w:basedOn w:val="Standard"/>
    <w:rsid w:val="00330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Tina Reiter</cp:lastModifiedBy>
  <cp:revision>3</cp:revision>
  <cp:lastPrinted>2016-03-08T14:12:00Z</cp:lastPrinted>
  <dcterms:created xsi:type="dcterms:W3CDTF">2016-06-17T07:55:00Z</dcterms:created>
  <dcterms:modified xsi:type="dcterms:W3CDTF">2023-08-21T13:10:00Z</dcterms:modified>
</cp:coreProperties>
</file>