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47" w:rsidRDefault="002509B1" w:rsidP="001E5A47">
      <w:pPr>
        <w:pStyle w:val="Kopfzeile"/>
        <w:tabs>
          <w:tab w:val="clear" w:pos="4536"/>
          <w:tab w:val="clear" w:pos="9072"/>
          <w:tab w:val="left" w:pos="7797"/>
        </w:tabs>
        <w:rPr>
          <w:rFonts w:asciiTheme="minorHAnsi" w:hAnsiTheme="minorHAnsi" w:cs="Calibri"/>
          <w:sz w:val="22"/>
          <w:szCs w:val="22"/>
          <w:lang w:val="de-AT"/>
        </w:rPr>
      </w:pPr>
      <w:r>
        <w:rPr>
          <w:rFonts w:ascii="Calibri" w:hAnsi="Calibri"/>
          <w:b/>
          <w:noProof/>
          <w:sz w:val="28"/>
          <w:szCs w:val="28"/>
          <w:lang w:val="de-AT" w:eastAsia="de-AT"/>
        </w:rPr>
        <w:drawing>
          <wp:anchor distT="0" distB="0" distL="114300" distR="114300" simplePos="0" relativeHeight="251658240" behindDoc="0" locked="0" layoutInCell="1" allowOverlap="1" wp14:anchorId="29BF1F5E" wp14:editId="24231E62">
            <wp:simplePos x="0" y="0"/>
            <wp:positionH relativeFrom="column">
              <wp:posOffset>4019400</wp:posOffset>
            </wp:positionH>
            <wp:positionV relativeFrom="paragraph">
              <wp:posOffset>36830</wp:posOffset>
            </wp:positionV>
            <wp:extent cx="1548280" cy="2533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5-4_Schärmer Herzschrittmach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037" cy="2533252"/>
                    </a:xfrm>
                    <a:prstGeom prst="rect">
                      <a:avLst/>
                    </a:prstGeom>
                  </pic:spPr>
                </pic:pic>
              </a:graphicData>
            </a:graphic>
            <wp14:sizeRelH relativeFrom="page">
              <wp14:pctWidth>0</wp14:pctWidth>
            </wp14:sizeRelH>
            <wp14:sizeRelV relativeFrom="page">
              <wp14:pctHeight>0</wp14:pctHeight>
            </wp14:sizeRelV>
          </wp:anchor>
        </w:drawing>
      </w:r>
    </w:p>
    <w:p w:rsidR="001E5A47" w:rsidRPr="00180DE4" w:rsidRDefault="005101D7" w:rsidP="001E5A47">
      <w:pPr>
        <w:rPr>
          <w:rFonts w:ascii="Calibri" w:hAnsi="Calibri"/>
        </w:rPr>
      </w:pPr>
      <w:r>
        <w:rPr>
          <w:rFonts w:ascii="Calibri" w:hAnsi="Calibri"/>
        </w:rPr>
        <w:t>Georg Schärmer</w:t>
      </w:r>
    </w:p>
    <w:p w:rsidR="001E5A47" w:rsidRDefault="005101D7" w:rsidP="001E5A47">
      <w:pPr>
        <w:tabs>
          <w:tab w:val="left" w:pos="7797"/>
        </w:tabs>
        <w:rPr>
          <w:rFonts w:ascii="Calibri" w:hAnsi="Calibri"/>
          <w:b/>
          <w:sz w:val="28"/>
          <w:szCs w:val="28"/>
        </w:rPr>
      </w:pPr>
      <w:r>
        <w:rPr>
          <w:rFonts w:ascii="Calibri" w:hAnsi="Calibri"/>
          <w:b/>
          <w:sz w:val="28"/>
          <w:szCs w:val="28"/>
        </w:rPr>
        <w:t>Herzschrittmacher</w:t>
      </w:r>
    </w:p>
    <w:p w:rsidR="001E5A47" w:rsidRDefault="005101D7" w:rsidP="001E5A47">
      <w:pPr>
        <w:tabs>
          <w:tab w:val="left" w:pos="7797"/>
        </w:tabs>
        <w:rPr>
          <w:rFonts w:ascii="Calibri" w:hAnsi="Calibri"/>
        </w:rPr>
      </w:pPr>
      <w:r>
        <w:rPr>
          <w:rFonts w:ascii="Calibri" w:hAnsi="Calibri"/>
        </w:rPr>
        <w:t>Wege der Barmherzigkeit</w:t>
      </w:r>
    </w:p>
    <w:p w:rsidR="001E5A47" w:rsidRDefault="001E5A47" w:rsidP="001E5A47">
      <w:pPr>
        <w:rPr>
          <w:rFonts w:asciiTheme="minorHAnsi" w:hAnsiTheme="minorHAnsi"/>
          <w:i/>
        </w:rPr>
      </w:pPr>
    </w:p>
    <w:p w:rsidR="009F50E3" w:rsidRDefault="009F50E3" w:rsidP="009F50E3">
      <w:pPr>
        <w:pStyle w:val="Kopfzeile"/>
        <w:tabs>
          <w:tab w:val="clear" w:pos="4536"/>
          <w:tab w:val="clear" w:pos="9072"/>
          <w:tab w:val="left" w:pos="7797"/>
        </w:tabs>
        <w:rPr>
          <w:rFonts w:ascii="Calibri" w:hAnsi="Calibri" w:cs="Calibri"/>
          <w:i/>
          <w:szCs w:val="24"/>
          <w:lang w:val="de-AT"/>
        </w:rPr>
      </w:pPr>
      <w:r w:rsidRPr="002C6584">
        <w:rPr>
          <w:rFonts w:ascii="Calibri" w:hAnsi="Calibri" w:cs="Calibri"/>
          <w:i/>
          <w:szCs w:val="24"/>
          <w:lang w:val="de-AT"/>
        </w:rPr>
        <w:t>1</w:t>
      </w:r>
      <w:r w:rsidR="00FD053A">
        <w:rPr>
          <w:rFonts w:ascii="Calibri" w:hAnsi="Calibri" w:cs="Calibri"/>
          <w:i/>
          <w:szCs w:val="24"/>
          <w:lang w:val="de-AT"/>
        </w:rPr>
        <w:t>20</w:t>
      </w:r>
      <w:r w:rsidRPr="002C6584">
        <w:rPr>
          <w:rFonts w:ascii="Calibri" w:hAnsi="Calibri" w:cs="Calibri"/>
          <w:i/>
          <w:szCs w:val="24"/>
          <w:lang w:val="de-AT"/>
        </w:rPr>
        <w:t xml:space="preserve"> Seiten, </w:t>
      </w:r>
      <w:r w:rsidR="005101D7">
        <w:rPr>
          <w:rFonts w:ascii="Calibri" w:hAnsi="Calibri" w:cs="Calibri"/>
          <w:i/>
          <w:szCs w:val="24"/>
          <w:lang w:val="de-AT"/>
        </w:rPr>
        <w:t>11</w:t>
      </w:r>
      <w:r w:rsidRPr="002C6584">
        <w:rPr>
          <w:rFonts w:ascii="Calibri" w:hAnsi="Calibri" w:cs="Calibri"/>
          <w:i/>
          <w:szCs w:val="24"/>
          <w:lang w:val="de-AT"/>
        </w:rPr>
        <w:t xml:space="preserve"> x </w:t>
      </w:r>
      <w:r w:rsidR="005101D7">
        <w:rPr>
          <w:rFonts w:ascii="Calibri" w:hAnsi="Calibri" w:cs="Calibri"/>
          <w:i/>
          <w:szCs w:val="24"/>
          <w:lang w:val="de-AT"/>
        </w:rPr>
        <w:t>18</w:t>
      </w:r>
      <w:r w:rsidRPr="002C6584">
        <w:rPr>
          <w:rFonts w:ascii="Calibri" w:hAnsi="Calibri" w:cs="Calibri"/>
          <w:i/>
          <w:szCs w:val="24"/>
          <w:lang w:val="de-AT"/>
        </w:rPr>
        <w:t xml:space="preserve"> cm, </w:t>
      </w:r>
      <w:r w:rsidR="005101D7">
        <w:rPr>
          <w:rFonts w:ascii="Calibri" w:hAnsi="Calibri" w:cs="Calibri"/>
          <w:i/>
          <w:szCs w:val="24"/>
          <w:lang w:val="de-AT"/>
        </w:rPr>
        <w:t>gebunden</w:t>
      </w:r>
    </w:p>
    <w:p w:rsidR="002509B1" w:rsidRDefault="002509B1" w:rsidP="009F50E3">
      <w:pPr>
        <w:pStyle w:val="Kopfzeile"/>
        <w:tabs>
          <w:tab w:val="clear" w:pos="4536"/>
          <w:tab w:val="clear" w:pos="9072"/>
          <w:tab w:val="left" w:pos="7797"/>
        </w:tabs>
        <w:rPr>
          <w:rFonts w:ascii="Calibri" w:hAnsi="Calibri" w:cs="Calibri"/>
          <w:i/>
          <w:szCs w:val="24"/>
          <w:lang w:val="de-AT"/>
        </w:rPr>
      </w:pPr>
      <w:r>
        <w:rPr>
          <w:rFonts w:ascii="Calibri" w:hAnsi="Calibri" w:cs="Calibri"/>
          <w:i/>
          <w:szCs w:val="24"/>
          <w:lang w:val="de-AT"/>
        </w:rPr>
        <w:t>Tyrolia-Verlag, Innsbruck-Wien 2016</w:t>
      </w:r>
    </w:p>
    <w:p w:rsidR="009F50E3" w:rsidRPr="002C6584" w:rsidRDefault="009F50E3" w:rsidP="009F50E3">
      <w:pPr>
        <w:pStyle w:val="Kopfzeile"/>
        <w:tabs>
          <w:tab w:val="clear" w:pos="4536"/>
          <w:tab w:val="clear" w:pos="9072"/>
          <w:tab w:val="left" w:pos="7797"/>
        </w:tabs>
        <w:rPr>
          <w:rFonts w:ascii="Calibri" w:hAnsi="Calibri" w:cs="Calibri"/>
          <w:i/>
          <w:szCs w:val="24"/>
          <w:lang w:val="de-AT"/>
        </w:rPr>
      </w:pPr>
      <w:bookmarkStart w:id="0" w:name="_GoBack"/>
      <w:r w:rsidRPr="006B3FAD">
        <w:rPr>
          <w:rFonts w:ascii="Calibri" w:hAnsi="Calibri" w:cs="Calibri"/>
          <w:i/>
          <w:szCs w:val="24"/>
        </w:rPr>
        <w:t>ISBN 978-3-7022-</w:t>
      </w:r>
      <w:r w:rsidR="00E220E9">
        <w:rPr>
          <w:rFonts w:ascii="Calibri" w:hAnsi="Calibri" w:cs="Calibri"/>
          <w:i/>
          <w:szCs w:val="24"/>
        </w:rPr>
        <w:t>3515-4</w:t>
      </w:r>
    </w:p>
    <w:bookmarkEnd w:id="0"/>
    <w:p w:rsidR="009F50E3" w:rsidRPr="002C6584" w:rsidRDefault="009F50E3" w:rsidP="009F50E3">
      <w:pPr>
        <w:pStyle w:val="Kopfzeile"/>
        <w:tabs>
          <w:tab w:val="clear" w:pos="4536"/>
          <w:tab w:val="clear" w:pos="9072"/>
          <w:tab w:val="left" w:pos="7797"/>
        </w:tabs>
        <w:rPr>
          <w:rFonts w:ascii="Calibri" w:hAnsi="Calibri" w:cs="Calibri"/>
          <w:i/>
          <w:szCs w:val="24"/>
          <w:lang w:val="de-AT"/>
        </w:rPr>
      </w:pPr>
      <w:r>
        <w:rPr>
          <w:rFonts w:ascii="Calibri" w:hAnsi="Calibri" w:cs="Calibri"/>
          <w:i/>
          <w:szCs w:val="24"/>
          <w:lang w:val="de-AT"/>
        </w:rPr>
        <w:t>€ 12,95</w:t>
      </w:r>
    </w:p>
    <w:p w:rsidR="00E220E9" w:rsidRDefault="00E220E9" w:rsidP="00E220E9">
      <w:pPr>
        <w:pStyle w:val="Kopfzeile"/>
        <w:tabs>
          <w:tab w:val="clear" w:pos="4536"/>
          <w:tab w:val="clear" w:pos="9072"/>
          <w:tab w:val="left" w:pos="5529"/>
        </w:tabs>
        <w:rPr>
          <w:rFonts w:ascii="Calibri" w:hAnsi="Calibri" w:cs="Calibri"/>
          <w:i/>
        </w:rPr>
      </w:pPr>
      <w:r>
        <w:rPr>
          <w:rFonts w:ascii="Calibri" w:hAnsi="Calibri" w:cs="Calibri"/>
          <w:i/>
          <w:szCs w:val="24"/>
        </w:rPr>
        <w:t xml:space="preserve">Auch als E-Book erhältlich: </w:t>
      </w:r>
      <w:r w:rsidR="002509B1">
        <w:rPr>
          <w:rFonts w:ascii="Calibri" w:hAnsi="Calibri" w:cs="Calibri"/>
          <w:i/>
        </w:rPr>
        <w:t xml:space="preserve">ISBN 978-3-7022-3516-1, </w:t>
      </w:r>
      <w:r>
        <w:rPr>
          <w:rFonts w:ascii="Calibri" w:hAnsi="Calibri" w:cs="Calibri"/>
          <w:i/>
        </w:rPr>
        <w:t xml:space="preserve">€ 9,99 </w:t>
      </w:r>
    </w:p>
    <w:p w:rsidR="001E5A47" w:rsidRDefault="001E5A47" w:rsidP="001E5A47">
      <w:pPr>
        <w:rPr>
          <w:rFonts w:asciiTheme="minorHAnsi" w:hAnsiTheme="minorHAnsi" w:cstheme="minorHAnsi"/>
          <w:b/>
        </w:rPr>
      </w:pPr>
    </w:p>
    <w:p w:rsidR="00E220E9" w:rsidRDefault="00E220E9" w:rsidP="001E5A47">
      <w:pPr>
        <w:rPr>
          <w:rFonts w:asciiTheme="minorHAnsi" w:hAnsiTheme="minorHAnsi" w:cstheme="minorHAnsi"/>
          <w:b/>
        </w:rPr>
      </w:pPr>
    </w:p>
    <w:p w:rsidR="001E5A47" w:rsidRDefault="001E5A47" w:rsidP="001E5A47">
      <w:pPr>
        <w:rPr>
          <w:rFonts w:asciiTheme="minorHAnsi" w:hAnsiTheme="minorHAnsi" w:cstheme="minorHAnsi"/>
          <w:b/>
        </w:rPr>
      </w:pPr>
    </w:p>
    <w:p w:rsidR="003D414D" w:rsidRPr="002509B1" w:rsidRDefault="00BD711C" w:rsidP="001E5A47">
      <w:pPr>
        <w:rPr>
          <w:rFonts w:asciiTheme="minorHAnsi" w:hAnsiTheme="minorHAnsi" w:cstheme="minorHAnsi"/>
          <w:b/>
          <w:sz w:val="36"/>
          <w:szCs w:val="36"/>
        </w:rPr>
      </w:pPr>
      <w:r w:rsidRPr="002509B1">
        <w:rPr>
          <w:rFonts w:asciiTheme="minorHAnsi" w:hAnsiTheme="minorHAnsi" w:cstheme="minorHAnsi"/>
          <w:b/>
          <w:sz w:val="36"/>
          <w:szCs w:val="36"/>
        </w:rPr>
        <w:t>Dem Herzen Beine machen</w:t>
      </w:r>
    </w:p>
    <w:p w:rsidR="00392B42" w:rsidRPr="002509B1" w:rsidRDefault="00BD711C" w:rsidP="001E5A47">
      <w:pPr>
        <w:rPr>
          <w:rFonts w:asciiTheme="minorHAnsi" w:hAnsiTheme="minorHAnsi" w:cstheme="minorHAnsi"/>
          <w:b/>
        </w:rPr>
      </w:pPr>
      <w:r w:rsidRPr="002509B1">
        <w:rPr>
          <w:rFonts w:asciiTheme="minorHAnsi" w:hAnsiTheme="minorHAnsi" w:cstheme="minorHAnsi"/>
          <w:b/>
        </w:rPr>
        <w:t>Geschichten für ein gutes Miteinander</w:t>
      </w:r>
    </w:p>
    <w:p w:rsidR="00033F9C" w:rsidRDefault="00033F9C" w:rsidP="001E5A47">
      <w:pPr>
        <w:rPr>
          <w:rFonts w:asciiTheme="minorHAnsi" w:hAnsiTheme="minorHAnsi" w:cstheme="minorHAnsi"/>
        </w:rPr>
      </w:pPr>
    </w:p>
    <w:p w:rsidR="007A2AFE" w:rsidRDefault="00AC04A3" w:rsidP="001E5A47">
      <w:pPr>
        <w:rPr>
          <w:rFonts w:asciiTheme="minorHAnsi" w:hAnsiTheme="minorHAnsi" w:cstheme="minorHAnsi"/>
        </w:rPr>
      </w:pPr>
      <w:r>
        <w:rPr>
          <w:rFonts w:asciiTheme="minorHAnsi" w:hAnsiTheme="minorHAnsi" w:cstheme="minorHAnsi"/>
        </w:rPr>
        <w:t xml:space="preserve">Barmherzigkeit </w:t>
      </w:r>
      <w:r w:rsidR="007A2AFE">
        <w:rPr>
          <w:rFonts w:asciiTheme="minorHAnsi" w:hAnsiTheme="minorHAnsi" w:cstheme="minorHAnsi"/>
        </w:rPr>
        <w:t xml:space="preserve">– </w:t>
      </w:r>
      <w:proofErr w:type="spellStart"/>
      <w:r w:rsidR="007A2AFE">
        <w:rPr>
          <w:rFonts w:asciiTheme="minorHAnsi" w:hAnsiTheme="minorHAnsi" w:cstheme="minorHAnsi"/>
        </w:rPr>
        <w:t>Misericordia</w:t>
      </w:r>
      <w:proofErr w:type="spellEnd"/>
      <w:r w:rsidR="007A2AFE">
        <w:rPr>
          <w:rFonts w:asciiTheme="minorHAnsi" w:hAnsiTheme="minorHAnsi" w:cstheme="minorHAnsi"/>
        </w:rPr>
        <w:t>. Das heißt</w:t>
      </w:r>
      <w:r w:rsidR="00BD711C">
        <w:rPr>
          <w:rFonts w:asciiTheme="minorHAnsi" w:hAnsiTheme="minorHAnsi" w:cstheme="minorHAnsi"/>
        </w:rPr>
        <w:t>,</w:t>
      </w:r>
      <w:r w:rsidR="007A2AFE">
        <w:rPr>
          <w:rFonts w:asciiTheme="minorHAnsi" w:hAnsiTheme="minorHAnsi" w:cstheme="minorHAnsi"/>
        </w:rPr>
        <w:t xml:space="preserve"> ein Herz haben für die Menschen, denen es miserabel geht. Bereits von alters her fasst die Kirche diesen Auftrag in den so genannten leiblichen Werken der Barmherzigkeit zusammen: Hungrige speisen, Durstige laben, Nackte bekleiden, Fremde beherbergen, Gefangene befreien, Kranke pflegen und Tote begraben. Das sind tragende Säulen einer humanen Gesellschaft und Garant für den sozialen Frieden. </w:t>
      </w:r>
    </w:p>
    <w:p w:rsidR="002509B1" w:rsidRDefault="002509B1" w:rsidP="001E5A47">
      <w:pPr>
        <w:rPr>
          <w:rFonts w:asciiTheme="minorHAnsi" w:hAnsiTheme="minorHAnsi" w:cstheme="minorHAnsi"/>
        </w:rPr>
      </w:pPr>
    </w:p>
    <w:p w:rsidR="007A2AFE" w:rsidRDefault="007A2AFE" w:rsidP="001E5A47">
      <w:pPr>
        <w:rPr>
          <w:rFonts w:asciiTheme="minorHAnsi" w:hAnsiTheme="minorHAnsi" w:cstheme="minorHAnsi"/>
        </w:rPr>
      </w:pPr>
      <w:r>
        <w:rPr>
          <w:rFonts w:asciiTheme="minorHAnsi" w:hAnsiTheme="minorHAnsi" w:cstheme="minorHAnsi"/>
        </w:rPr>
        <w:t>Heute – in einer Zeit, in der es so viele Hilfsbedürftige wie zuvor gibt – müssen die Werke der Barmherzigkeit eine kraftvolle Probe bestehen. Wegschauen und Vorübergehen gilt nicht mehr. Der Autor versucht eine zeitgemäße Interpretation, bleibt aber nicht bei der Problembeschreibung und Mahnung stehen, sond</w:t>
      </w:r>
      <w:r w:rsidR="002509B1">
        <w:rPr>
          <w:rFonts w:asciiTheme="minorHAnsi" w:hAnsiTheme="minorHAnsi" w:cstheme="minorHAnsi"/>
        </w:rPr>
        <w:t xml:space="preserve">ern erzählt herzberührende und </w:t>
      </w:r>
      <w:proofErr w:type="spellStart"/>
      <w:r w:rsidR="002509B1">
        <w:rPr>
          <w:rFonts w:asciiTheme="minorHAnsi" w:hAnsiTheme="minorHAnsi" w:cstheme="minorHAnsi"/>
        </w:rPr>
        <w:t>mut</w:t>
      </w:r>
      <w:r>
        <w:rPr>
          <w:rFonts w:asciiTheme="minorHAnsi" w:hAnsiTheme="minorHAnsi" w:cstheme="minorHAnsi"/>
        </w:rPr>
        <w:t>machende</w:t>
      </w:r>
      <w:proofErr w:type="spellEnd"/>
      <w:r>
        <w:rPr>
          <w:rFonts w:asciiTheme="minorHAnsi" w:hAnsiTheme="minorHAnsi" w:cstheme="minorHAnsi"/>
        </w:rPr>
        <w:t xml:space="preserve"> Geschichten der Achtsamkeit und Zuwendung, der Großzügigkeit und Gemeinschaft. </w:t>
      </w:r>
    </w:p>
    <w:p w:rsidR="007A2AFE" w:rsidRDefault="007A2AFE" w:rsidP="001E5A47">
      <w:pPr>
        <w:rPr>
          <w:rFonts w:asciiTheme="minorHAnsi" w:hAnsiTheme="minorHAnsi" w:cstheme="minorHAnsi"/>
        </w:rPr>
      </w:pPr>
    </w:p>
    <w:p w:rsidR="00E11EFF" w:rsidRDefault="00E11EFF" w:rsidP="001E5A47">
      <w:pPr>
        <w:rPr>
          <w:rFonts w:asciiTheme="minorHAnsi" w:hAnsiTheme="minorHAnsi" w:cstheme="minorHAnsi"/>
        </w:rPr>
      </w:pPr>
    </w:p>
    <w:p w:rsidR="001E5A47" w:rsidRPr="0064131C" w:rsidRDefault="00E460AC" w:rsidP="001E5A47">
      <w:pPr>
        <w:rPr>
          <w:rFonts w:asciiTheme="minorHAnsi" w:hAnsiTheme="minorHAnsi" w:cstheme="minorHAnsi"/>
          <w:i/>
        </w:rPr>
      </w:pPr>
      <w:r>
        <w:rPr>
          <w:rFonts w:asciiTheme="minorHAnsi" w:hAnsiTheme="minorHAnsi" w:cstheme="minorHAnsi"/>
          <w:i/>
        </w:rPr>
        <w:t>Der Autor</w:t>
      </w:r>
      <w:r w:rsidR="001E5A47" w:rsidRPr="0064131C">
        <w:rPr>
          <w:rFonts w:asciiTheme="minorHAnsi" w:hAnsiTheme="minorHAnsi" w:cstheme="minorHAnsi"/>
          <w:i/>
        </w:rPr>
        <w:t xml:space="preserve">: </w:t>
      </w:r>
    </w:p>
    <w:p w:rsidR="003962F6" w:rsidRPr="00F83F13" w:rsidRDefault="00B9495E" w:rsidP="003962F6">
      <w:pPr>
        <w:rPr>
          <w:rFonts w:asciiTheme="minorHAnsi" w:hAnsiTheme="minorHAnsi"/>
          <w:i/>
        </w:rPr>
      </w:pPr>
      <w:r>
        <w:rPr>
          <w:rFonts w:asciiTheme="minorHAnsi" w:hAnsiTheme="minorHAnsi" w:cstheme="minorHAnsi"/>
          <w:caps/>
          <w:lang w:val="de-AT"/>
        </w:rPr>
        <w:t>georg schärmer</w:t>
      </w:r>
      <w:r w:rsidR="001E5A47" w:rsidRPr="007A6634">
        <w:rPr>
          <w:rFonts w:asciiTheme="minorHAnsi" w:hAnsiTheme="minorHAnsi" w:cstheme="minorHAnsi"/>
          <w:smallCaps/>
          <w:lang w:val="de-AT"/>
        </w:rPr>
        <w:t>,</w:t>
      </w:r>
      <w:r w:rsidR="001E5A47">
        <w:rPr>
          <w:rFonts w:asciiTheme="minorHAnsi" w:hAnsiTheme="minorHAnsi" w:cstheme="minorHAnsi"/>
          <w:smallCaps/>
          <w:lang w:val="de-AT"/>
        </w:rPr>
        <w:t xml:space="preserve"> </w:t>
      </w:r>
      <w:r w:rsidR="003962F6" w:rsidRPr="00F83F13">
        <w:rPr>
          <w:rFonts w:asciiTheme="minorHAnsi" w:hAnsiTheme="minorHAnsi" w:cstheme="minorHAnsi"/>
        </w:rPr>
        <w:t>geb. 19</w:t>
      </w:r>
      <w:r w:rsidR="0022007D">
        <w:rPr>
          <w:rFonts w:asciiTheme="minorHAnsi" w:hAnsiTheme="minorHAnsi" w:cstheme="minorHAnsi"/>
        </w:rPr>
        <w:t xml:space="preserve">56. Der Pädagoge war viele Jahre Mitarbeiter und Leiter mehrerer Sozial- und Bildungseinrichtungen. Seit 1998 ist er Direktor der Caritas der Diözese Innsbruck. Die Tageszeitung „Die Presse“ betitelte ihn anlässlich der Nominierung zum Österreicher des Jahres als „dankbaren Unruhestifter“. </w:t>
      </w:r>
    </w:p>
    <w:p w:rsidR="001E5A47" w:rsidRPr="0064131C" w:rsidRDefault="001E5A47" w:rsidP="001E5A47">
      <w:pPr>
        <w:rPr>
          <w:rFonts w:asciiTheme="minorHAnsi" w:hAnsiTheme="minorHAnsi" w:cstheme="minorHAnsi"/>
        </w:rPr>
      </w:pPr>
    </w:p>
    <w:p w:rsidR="00D46E5B" w:rsidRDefault="00D46E5B"/>
    <w:sectPr w:rsidR="00D46E5B">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AFE" w:rsidRDefault="007A2AFE">
      <w:r>
        <w:separator/>
      </w:r>
    </w:p>
  </w:endnote>
  <w:endnote w:type="continuationSeparator" w:id="0">
    <w:p w:rsidR="007A2AFE" w:rsidRDefault="007A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AFE" w:rsidRDefault="007A2AFE">
      <w:r>
        <w:separator/>
      </w:r>
    </w:p>
  </w:footnote>
  <w:footnote w:type="continuationSeparator" w:id="0">
    <w:p w:rsidR="007A2AFE" w:rsidRDefault="007A2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FE" w:rsidRDefault="007A2AFE">
    <w:pPr>
      <w:pStyle w:val="berschrift3"/>
      <w:jc w:val="left"/>
    </w:pPr>
  </w:p>
  <w:p w:rsidR="007A2AFE" w:rsidRDefault="007A2AFE">
    <w:pPr>
      <w:pStyle w:val="berschrift3"/>
      <w:jc w:val="left"/>
    </w:pPr>
  </w:p>
  <w:p w:rsidR="007A2AFE" w:rsidRPr="00400EA7" w:rsidRDefault="007A2AFE">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07DAB"/>
    <w:rsid w:val="00033F9C"/>
    <w:rsid w:val="00052FF9"/>
    <w:rsid w:val="00063E96"/>
    <w:rsid w:val="00076D31"/>
    <w:rsid w:val="00077D7B"/>
    <w:rsid w:val="000A0835"/>
    <w:rsid w:val="000B60D6"/>
    <w:rsid w:val="000C13F9"/>
    <w:rsid w:val="000F082A"/>
    <w:rsid w:val="00146E21"/>
    <w:rsid w:val="00173C68"/>
    <w:rsid w:val="0018221B"/>
    <w:rsid w:val="001947C6"/>
    <w:rsid w:val="001A0EC8"/>
    <w:rsid w:val="001B6BE2"/>
    <w:rsid w:val="001D732D"/>
    <w:rsid w:val="001E5A47"/>
    <w:rsid w:val="0022007D"/>
    <w:rsid w:val="00244526"/>
    <w:rsid w:val="002509B1"/>
    <w:rsid w:val="002E11A4"/>
    <w:rsid w:val="00310B69"/>
    <w:rsid w:val="00323B3C"/>
    <w:rsid w:val="00326BB4"/>
    <w:rsid w:val="00371E75"/>
    <w:rsid w:val="00392B42"/>
    <w:rsid w:val="003962F6"/>
    <w:rsid w:val="003D414D"/>
    <w:rsid w:val="0047226C"/>
    <w:rsid w:val="004745EE"/>
    <w:rsid w:val="004E04FE"/>
    <w:rsid w:val="005101D7"/>
    <w:rsid w:val="00547855"/>
    <w:rsid w:val="005519A9"/>
    <w:rsid w:val="00564EA3"/>
    <w:rsid w:val="00580D92"/>
    <w:rsid w:val="005C6118"/>
    <w:rsid w:val="006635BD"/>
    <w:rsid w:val="007A2AFE"/>
    <w:rsid w:val="007B756D"/>
    <w:rsid w:val="007D2A78"/>
    <w:rsid w:val="008A720A"/>
    <w:rsid w:val="0094075A"/>
    <w:rsid w:val="00944A19"/>
    <w:rsid w:val="00996DC6"/>
    <w:rsid w:val="009F50E3"/>
    <w:rsid w:val="00A05A6A"/>
    <w:rsid w:val="00A25833"/>
    <w:rsid w:val="00A849AC"/>
    <w:rsid w:val="00AA0200"/>
    <w:rsid w:val="00AC04A3"/>
    <w:rsid w:val="00B37C65"/>
    <w:rsid w:val="00B44C88"/>
    <w:rsid w:val="00B9495E"/>
    <w:rsid w:val="00BC06D0"/>
    <w:rsid w:val="00BD711C"/>
    <w:rsid w:val="00C02091"/>
    <w:rsid w:val="00C16DE8"/>
    <w:rsid w:val="00CE3F4A"/>
    <w:rsid w:val="00D20DB1"/>
    <w:rsid w:val="00D46E5B"/>
    <w:rsid w:val="00DF49CA"/>
    <w:rsid w:val="00E11EFF"/>
    <w:rsid w:val="00E220E9"/>
    <w:rsid w:val="00E460AC"/>
    <w:rsid w:val="00E64FCB"/>
    <w:rsid w:val="00E865F1"/>
    <w:rsid w:val="00F11A9C"/>
    <w:rsid w:val="00F43E6E"/>
    <w:rsid w:val="00F65AD2"/>
    <w:rsid w:val="00FC79A3"/>
    <w:rsid w:val="00FD053A"/>
    <w:rsid w:val="00FE1A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1E5A47"/>
    <w:pPr>
      <w:tabs>
        <w:tab w:val="center" w:pos="4536"/>
        <w:tab w:val="right" w:pos="9072"/>
      </w:tabs>
    </w:pPr>
    <w:rPr>
      <w:szCs w:val="20"/>
    </w:rPr>
  </w:style>
  <w:style w:type="character" w:customStyle="1" w:styleId="KopfzeileZchn">
    <w:name w:val="Kopfzeile Zchn"/>
    <w:basedOn w:val="Absatz-Standardschriftart"/>
    <w:link w:val="Kopfzeile"/>
    <w:semiHidden/>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paragraph" w:styleId="Listenabsatz">
    <w:name w:val="List Paragraph"/>
    <w:basedOn w:val="Standard"/>
    <w:uiPriority w:val="34"/>
    <w:qFormat/>
    <w:rsid w:val="007D2A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1E5A47"/>
    <w:pPr>
      <w:tabs>
        <w:tab w:val="center" w:pos="4536"/>
        <w:tab w:val="right" w:pos="9072"/>
      </w:tabs>
    </w:pPr>
    <w:rPr>
      <w:szCs w:val="20"/>
    </w:rPr>
  </w:style>
  <w:style w:type="character" w:customStyle="1" w:styleId="KopfzeileZchn">
    <w:name w:val="Kopfzeile Zchn"/>
    <w:basedOn w:val="Absatz-Standardschriftart"/>
    <w:link w:val="Kopfzeile"/>
    <w:semiHidden/>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paragraph" w:styleId="Listenabsatz">
    <w:name w:val="List Paragraph"/>
    <w:basedOn w:val="Standard"/>
    <w:uiPriority w:val="34"/>
    <w:qFormat/>
    <w:rsid w:val="007D2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90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1285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dcterms:created xsi:type="dcterms:W3CDTF">2016-01-27T09:04:00Z</dcterms:created>
  <dcterms:modified xsi:type="dcterms:W3CDTF">2016-01-27T09:04:00Z</dcterms:modified>
</cp:coreProperties>
</file>