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7B7" w:rsidRPr="00CB6BDA" w:rsidRDefault="004E2A1D" w:rsidP="000877B7">
      <w:pPr>
        <w:pStyle w:val="Kopfzeile"/>
        <w:tabs>
          <w:tab w:val="clear" w:pos="4536"/>
          <w:tab w:val="clear" w:pos="9072"/>
          <w:tab w:val="left" w:pos="7797"/>
        </w:tabs>
        <w:rPr>
          <w:rFonts w:asciiTheme="minorHAnsi" w:hAnsiTheme="minorHAnsi" w:cs="Calibri"/>
          <w:sz w:val="22"/>
          <w:szCs w:val="22"/>
          <w:lang w:val="de-AT"/>
        </w:rPr>
      </w:pPr>
      <w:r>
        <w:rPr>
          <w:rFonts w:asciiTheme="minorHAnsi" w:hAnsiTheme="minorHAnsi" w:cs="Calibri"/>
          <w:noProof/>
          <w:sz w:val="22"/>
          <w:szCs w:val="22"/>
        </w:rPr>
        <w:drawing>
          <wp:anchor distT="0" distB="0" distL="114300" distR="114300" simplePos="0" relativeHeight="251658240" behindDoc="0" locked="0" layoutInCell="1" allowOverlap="1">
            <wp:simplePos x="0" y="0"/>
            <wp:positionH relativeFrom="column">
              <wp:posOffset>4129405</wp:posOffset>
            </wp:positionH>
            <wp:positionV relativeFrom="paragraph">
              <wp:posOffset>74930</wp:posOffset>
            </wp:positionV>
            <wp:extent cx="1462930" cy="2399612"/>
            <wp:effectExtent l="0" t="0" r="444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3-1_Bruners-Niemansl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5474" cy="2403785"/>
                    </a:xfrm>
                    <a:prstGeom prst="rect">
                      <a:avLst/>
                    </a:prstGeom>
                  </pic:spPr>
                </pic:pic>
              </a:graphicData>
            </a:graphic>
            <wp14:sizeRelH relativeFrom="page">
              <wp14:pctWidth>0</wp14:pctWidth>
            </wp14:sizeRelH>
            <wp14:sizeRelV relativeFrom="page">
              <wp14:pctHeight>0</wp14:pctHeight>
            </wp14:sizeRelV>
          </wp:anchor>
        </w:drawing>
      </w:r>
    </w:p>
    <w:p w:rsidR="004E2A1D" w:rsidRDefault="004E2A1D" w:rsidP="000877B7">
      <w:pPr>
        <w:tabs>
          <w:tab w:val="left" w:pos="7797"/>
        </w:tabs>
        <w:rPr>
          <w:rFonts w:ascii="Calibri" w:hAnsi="Calibri"/>
        </w:rPr>
      </w:pPr>
    </w:p>
    <w:p w:rsidR="000877B7" w:rsidRPr="00DE5A7D" w:rsidRDefault="001E2488" w:rsidP="000877B7">
      <w:pPr>
        <w:tabs>
          <w:tab w:val="left" w:pos="7797"/>
        </w:tabs>
        <w:rPr>
          <w:rFonts w:ascii="Calibri" w:hAnsi="Calibri"/>
        </w:rPr>
      </w:pPr>
      <w:r>
        <w:rPr>
          <w:rFonts w:ascii="Calibri" w:hAnsi="Calibri"/>
        </w:rPr>
        <w:t>Wilhelm Bruners</w:t>
      </w:r>
    </w:p>
    <w:p w:rsidR="000877B7" w:rsidRPr="00DE5A7D" w:rsidRDefault="001E2488" w:rsidP="000877B7">
      <w:pPr>
        <w:tabs>
          <w:tab w:val="left" w:pos="7797"/>
        </w:tabs>
        <w:rPr>
          <w:rFonts w:ascii="Calibri" w:hAnsi="Calibri"/>
          <w:b/>
          <w:sz w:val="28"/>
          <w:szCs w:val="28"/>
        </w:rPr>
      </w:pPr>
      <w:r>
        <w:rPr>
          <w:rFonts w:ascii="Calibri" w:hAnsi="Calibri"/>
          <w:b/>
          <w:sz w:val="28"/>
          <w:szCs w:val="28"/>
        </w:rPr>
        <w:t>Niemandsland</w:t>
      </w:r>
      <w:r w:rsidR="003E13C7">
        <w:rPr>
          <w:rFonts w:ascii="Calibri" w:hAnsi="Calibri"/>
          <w:b/>
          <w:sz w:val="28"/>
          <w:szCs w:val="28"/>
        </w:rPr>
        <w:t>.</w:t>
      </w:r>
      <w:r>
        <w:rPr>
          <w:rFonts w:ascii="Calibri" w:hAnsi="Calibri"/>
          <w:b/>
          <w:sz w:val="28"/>
          <w:szCs w:val="28"/>
        </w:rPr>
        <w:t xml:space="preserve"> Gott</w:t>
      </w:r>
    </w:p>
    <w:p w:rsidR="000877B7" w:rsidRDefault="001E2488" w:rsidP="000877B7">
      <w:pPr>
        <w:tabs>
          <w:tab w:val="left" w:pos="7797"/>
        </w:tabs>
        <w:rPr>
          <w:rFonts w:ascii="Calibri" w:hAnsi="Calibri"/>
        </w:rPr>
      </w:pPr>
      <w:r>
        <w:rPr>
          <w:rFonts w:ascii="Calibri" w:hAnsi="Calibri"/>
        </w:rPr>
        <w:t>Gedichte und Meditationen</w:t>
      </w:r>
    </w:p>
    <w:p w:rsidR="00986961" w:rsidRPr="00DE5A7D" w:rsidRDefault="00986961" w:rsidP="000877B7">
      <w:pPr>
        <w:tabs>
          <w:tab w:val="left" w:pos="7797"/>
        </w:tabs>
        <w:rPr>
          <w:rFonts w:ascii="Calibri" w:hAnsi="Calibri"/>
        </w:rPr>
      </w:pPr>
      <w:r>
        <w:rPr>
          <w:rFonts w:ascii="Calibri" w:hAnsi="Calibri"/>
        </w:rPr>
        <w:t xml:space="preserve">2. Auflage </w:t>
      </w:r>
    </w:p>
    <w:p w:rsidR="000877B7" w:rsidRDefault="001E2488" w:rsidP="000877B7">
      <w:pPr>
        <w:tabs>
          <w:tab w:val="left" w:pos="7797"/>
        </w:tabs>
        <w:rPr>
          <w:rFonts w:ascii="Calibri" w:hAnsi="Calibri"/>
          <w:i/>
        </w:rPr>
      </w:pPr>
      <w:r>
        <w:rPr>
          <w:rFonts w:ascii="Calibri" w:hAnsi="Calibri"/>
          <w:i/>
        </w:rPr>
        <w:t xml:space="preserve">96 </w:t>
      </w:r>
      <w:r w:rsidR="000877B7" w:rsidRPr="00CD4789">
        <w:rPr>
          <w:rFonts w:ascii="Calibri" w:hAnsi="Calibri"/>
          <w:i/>
        </w:rPr>
        <w:t>S., 1</w:t>
      </w:r>
      <w:r>
        <w:rPr>
          <w:rFonts w:ascii="Calibri" w:hAnsi="Calibri"/>
          <w:i/>
        </w:rPr>
        <w:t>2,5</w:t>
      </w:r>
      <w:r w:rsidR="000877B7" w:rsidRPr="00CD4789">
        <w:rPr>
          <w:rFonts w:ascii="Calibri" w:hAnsi="Calibri"/>
          <w:i/>
        </w:rPr>
        <w:t xml:space="preserve"> x </w:t>
      </w:r>
      <w:r>
        <w:rPr>
          <w:rFonts w:ascii="Calibri" w:hAnsi="Calibri"/>
          <w:i/>
        </w:rPr>
        <w:t>20,5</w:t>
      </w:r>
      <w:r w:rsidR="000877B7" w:rsidRPr="00CD4789">
        <w:rPr>
          <w:rFonts w:ascii="Calibri" w:hAnsi="Calibri"/>
          <w:i/>
        </w:rPr>
        <w:t xml:space="preserve"> cm, </w:t>
      </w:r>
      <w:r>
        <w:rPr>
          <w:rFonts w:ascii="Calibri" w:hAnsi="Calibri"/>
          <w:i/>
        </w:rPr>
        <w:t>Klappenbroschur</w:t>
      </w:r>
    </w:p>
    <w:p w:rsidR="004E2A1D" w:rsidRPr="00DE5A7D" w:rsidRDefault="004E2A1D" w:rsidP="000877B7">
      <w:pPr>
        <w:tabs>
          <w:tab w:val="left" w:pos="7797"/>
        </w:tabs>
        <w:rPr>
          <w:rFonts w:ascii="Calibri" w:hAnsi="Calibri"/>
        </w:rPr>
      </w:pPr>
      <w:r>
        <w:rPr>
          <w:rFonts w:ascii="Calibri" w:hAnsi="Calibri"/>
          <w:i/>
        </w:rPr>
        <w:t>Ty</w:t>
      </w:r>
      <w:r w:rsidR="004038DF">
        <w:rPr>
          <w:rFonts w:ascii="Calibri" w:hAnsi="Calibri"/>
          <w:i/>
        </w:rPr>
        <w:t>rolia-Verlag, Innsbruck-Wien, 2. Auflage 2015</w:t>
      </w:r>
    </w:p>
    <w:p w:rsidR="000877B7" w:rsidRPr="00DE5A7D" w:rsidRDefault="000877B7" w:rsidP="000877B7">
      <w:pPr>
        <w:rPr>
          <w:rFonts w:ascii="Calibri" w:hAnsi="Calibri" w:cs="Calibri"/>
          <w:i/>
        </w:rPr>
      </w:pPr>
      <w:r w:rsidRPr="00DE5A7D">
        <w:rPr>
          <w:rFonts w:ascii="Calibri" w:hAnsi="Calibri" w:cs="Calibri"/>
          <w:i/>
        </w:rPr>
        <w:t>ISBN 978-3-7022-</w:t>
      </w:r>
      <w:r w:rsidR="00296EEB">
        <w:rPr>
          <w:rFonts w:ascii="Calibri" w:hAnsi="Calibri" w:cs="Calibri"/>
          <w:i/>
        </w:rPr>
        <w:t>3433-1</w:t>
      </w:r>
    </w:p>
    <w:p w:rsidR="000877B7" w:rsidRPr="00995B99" w:rsidRDefault="000877B7" w:rsidP="000877B7">
      <w:pPr>
        <w:tabs>
          <w:tab w:val="left" w:pos="7797"/>
        </w:tabs>
        <w:rPr>
          <w:rFonts w:ascii="Calibri" w:hAnsi="Calibri"/>
          <w:i/>
        </w:rPr>
      </w:pPr>
      <w:r>
        <w:rPr>
          <w:rFonts w:ascii="Calibri" w:hAnsi="Calibri"/>
          <w:i/>
        </w:rPr>
        <w:t xml:space="preserve">€ </w:t>
      </w:r>
      <w:r w:rsidRPr="00995B99">
        <w:rPr>
          <w:rFonts w:ascii="Calibri" w:hAnsi="Calibri"/>
          <w:i/>
        </w:rPr>
        <w:t xml:space="preserve">12,95 </w:t>
      </w:r>
      <w:bookmarkStart w:id="0" w:name="_GoBack"/>
      <w:bookmarkEnd w:id="0"/>
    </w:p>
    <w:p w:rsidR="004E2A1D" w:rsidRDefault="004E2A1D" w:rsidP="004E2A1D">
      <w:pPr>
        <w:tabs>
          <w:tab w:val="left" w:pos="7797"/>
        </w:tabs>
        <w:rPr>
          <w:rFonts w:ascii="Calibri" w:hAnsi="Calibri"/>
          <w:i/>
        </w:rPr>
      </w:pPr>
    </w:p>
    <w:p w:rsidR="004E2A1D" w:rsidRDefault="004E2A1D" w:rsidP="004E2A1D">
      <w:pPr>
        <w:tabs>
          <w:tab w:val="left" w:pos="7797"/>
        </w:tabs>
        <w:rPr>
          <w:rFonts w:ascii="Calibri" w:hAnsi="Calibri"/>
          <w:i/>
        </w:rPr>
      </w:pPr>
    </w:p>
    <w:p w:rsidR="004E2A1D" w:rsidRPr="004E2A1D" w:rsidRDefault="004E2A1D" w:rsidP="004E2A1D">
      <w:pPr>
        <w:ind w:right="709"/>
        <w:jc w:val="both"/>
        <w:rPr>
          <w:rFonts w:asciiTheme="minorHAnsi" w:hAnsiTheme="minorHAnsi" w:cstheme="minorHAnsi"/>
          <w:b/>
          <w:sz w:val="32"/>
          <w:szCs w:val="32"/>
        </w:rPr>
      </w:pPr>
      <w:r w:rsidRPr="004E2A1D">
        <w:rPr>
          <w:rFonts w:asciiTheme="minorHAnsi" w:hAnsiTheme="minorHAnsi" w:cstheme="minorHAnsi"/>
          <w:b/>
          <w:sz w:val="32"/>
          <w:szCs w:val="32"/>
        </w:rPr>
        <w:t>Lyrik für Gottessucher</w:t>
      </w:r>
    </w:p>
    <w:p w:rsidR="000877B7" w:rsidRPr="004E2A1D" w:rsidRDefault="009F3A10" w:rsidP="000877B7">
      <w:pPr>
        <w:ind w:right="709"/>
        <w:jc w:val="both"/>
        <w:rPr>
          <w:rFonts w:asciiTheme="minorHAnsi" w:hAnsiTheme="minorHAnsi" w:cstheme="minorHAnsi"/>
          <w:b/>
          <w:sz w:val="28"/>
          <w:szCs w:val="28"/>
        </w:rPr>
      </w:pPr>
      <w:r w:rsidRPr="004E2A1D">
        <w:rPr>
          <w:rFonts w:asciiTheme="minorHAnsi" w:hAnsiTheme="minorHAnsi" w:cstheme="minorHAnsi"/>
          <w:b/>
          <w:sz w:val="28"/>
          <w:szCs w:val="28"/>
        </w:rPr>
        <w:t>Poesie</w:t>
      </w:r>
      <w:r w:rsidR="00CF6DD5" w:rsidRPr="004E2A1D">
        <w:rPr>
          <w:rFonts w:asciiTheme="minorHAnsi" w:hAnsiTheme="minorHAnsi" w:cstheme="minorHAnsi"/>
          <w:b/>
          <w:sz w:val="28"/>
          <w:szCs w:val="28"/>
        </w:rPr>
        <w:t>, die den Glauben auf den Punkt bringt</w:t>
      </w:r>
    </w:p>
    <w:p w:rsidR="000877B7" w:rsidRPr="007A6634" w:rsidRDefault="000877B7" w:rsidP="000877B7">
      <w:pPr>
        <w:rPr>
          <w:rFonts w:asciiTheme="minorHAnsi" w:hAnsiTheme="minorHAnsi" w:cstheme="minorHAnsi"/>
          <w:b/>
        </w:rPr>
      </w:pPr>
    </w:p>
    <w:p w:rsidR="00F83F13" w:rsidRDefault="00084BB7" w:rsidP="00D61A3D">
      <w:pPr>
        <w:rPr>
          <w:rFonts w:asciiTheme="minorHAnsi" w:hAnsiTheme="minorHAnsi" w:cstheme="minorHAnsi"/>
        </w:rPr>
      </w:pPr>
      <w:r>
        <w:rPr>
          <w:rFonts w:asciiTheme="minorHAnsi" w:hAnsiTheme="minorHAnsi" w:cstheme="minorHAnsi"/>
        </w:rPr>
        <w:t xml:space="preserve">Die Frage nach Gott begleitet Wilhelm Bruners sein Leben lang. </w:t>
      </w:r>
      <w:r w:rsidR="003A556E">
        <w:rPr>
          <w:rFonts w:asciiTheme="minorHAnsi" w:hAnsiTheme="minorHAnsi" w:cstheme="minorHAnsi"/>
        </w:rPr>
        <w:t xml:space="preserve">Seit über 50 Jahren beschreibt </w:t>
      </w:r>
      <w:r w:rsidR="00F56EB3">
        <w:rPr>
          <w:rFonts w:asciiTheme="minorHAnsi" w:hAnsiTheme="minorHAnsi" w:cstheme="minorHAnsi"/>
        </w:rPr>
        <w:t>d</w:t>
      </w:r>
      <w:r>
        <w:rPr>
          <w:rFonts w:asciiTheme="minorHAnsi" w:hAnsiTheme="minorHAnsi" w:cstheme="minorHAnsi"/>
        </w:rPr>
        <w:t xml:space="preserve">er Priester aus Aachen </w:t>
      </w:r>
      <w:r w:rsidR="003A556E">
        <w:rPr>
          <w:rFonts w:asciiTheme="minorHAnsi" w:hAnsiTheme="minorHAnsi" w:cstheme="minorHAnsi"/>
        </w:rPr>
        <w:t>in poetischen Texten und Meditationen diese Suche</w:t>
      </w:r>
      <w:r w:rsidR="00F56EB3">
        <w:rPr>
          <w:rFonts w:asciiTheme="minorHAnsi" w:hAnsiTheme="minorHAnsi" w:cstheme="minorHAnsi"/>
        </w:rPr>
        <w:t xml:space="preserve">. </w:t>
      </w:r>
      <w:r w:rsidR="00F83F13">
        <w:rPr>
          <w:rFonts w:asciiTheme="minorHAnsi" w:hAnsiTheme="minorHAnsi" w:cstheme="minorHAnsi"/>
        </w:rPr>
        <w:t>Er</w:t>
      </w:r>
      <w:r w:rsidR="000264B5">
        <w:rPr>
          <w:rFonts w:asciiTheme="minorHAnsi" w:hAnsiTheme="minorHAnsi" w:cstheme="minorHAnsi"/>
        </w:rPr>
        <w:t xml:space="preserve"> </w:t>
      </w:r>
      <w:r w:rsidR="00A171C2">
        <w:rPr>
          <w:rFonts w:asciiTheme="minorHAnsi" w:hAnsiTheme="minorHAnsi" w:cstheme="minorHAnsi"/>
        </w:rPr>
        <w:t xml:space="preserve">gibt </w:t>
      </w:r>
      <w:r w:rsidR="009F3A10">
        <w:rPr>
          <w:rFonts w:asciiTheme="minorHAnsi" w:hAnsiTheme="minorHAnsi" w:cstheme="minorHAnsi"/>
        </w:rPr>
        <w:t>damit</w:t>
      </w:r>
      <w:r w:rsidR="00A171C2">
        <w:rPr>
          <w:rFonts w:asciiTheme="minorHAnsi" w:hAnsiTheme="minorHAnsi" w:cstheme="minorHAnsi"/>
        </w:rPr>
        <w:t xml:space="preserve"> zahlreichen Menschen </w:t>
      </w:r>
      <w:r w:rsidR="009F3A10">
        <w:rPr>
          <w:rFonts w:asciiTheme="minorHAnsi" w:hAnsiTheme="minorHAnsi" w:cstheme="minorHAnsi"/>
        </w:rPr>
        <w:t>„</w:t>
      </w:r>
      <w:r w:rsidR="00A171C2">
        <w:rPr>
          <w:rFonts w:asciiTheme="minorHAnsi" w:hAnsiTheme="minorHAnsi" w:cstheme="minorHAnsi"/>
        </w:rPr>
        <w:t>Nahrung</w:t>
      </w:r>
      <w:r w:rsidR="009F3A10">
        <w:rPr>
          <w:rFonts w:asciiTheme="minorHAnsi" w:hAnsiTheme="minorHAnsi" w:cstheme="minorHAnsi"/>
        </w:rPr>
        <w:t>“</w:t>
      </w:r>
      <w:r w:rsidR="00A171C2">
        <w:rPr>
          <w:rFonts w:asciiTheme="minorHAnsi" w:hAnsiTheme="minorHAnsi" w:cstheme="minorHAnsi"/>
        </w:rPr>
        <w:t xml:space="preserve">, die mit der sonntäglichen Kirchensprache und Verkündigung ihren geistlich-geistigen Hunger nicht mehr stillen können. </w:t>
      </w:r>
    </w:p>
    <w:p w:rsidR="000C3A71" w:rsidRDefault="00A171C2" w:rsidP="00D61A3D">
      <w:pPr>
        <w:rPr>
          <w:rFonts w:asciiTheme="minorHAnsi" w:hAnsiTheme="minorHAnsi" w:cstheme="minorHAnsi"/>
        </w:rPr>
      </w:pPr>
      <w:r>
        <w:rPr>
          <w:rFonts w:asciiTheme="minorHAnsi" w:hAnsiTheme="minorHAnsi" w:cstheme="minorHAnsi"/>
        </w:rPr>
        <w:t xml:space="preserve">In diesem Band zeigt der Autor, dass niemand den biblischen Gott besitzen kann. Deshalb gehört auch das „Land“, in dem wir Gott begegnen, niemandem. Mit prägenden Worten erzählt der profunde Bibelkenner in seinen Gedichten und Meditationen, wie Gott befreiend und erlösend </w:t>
      </w:r>
      <w:r w:rsidR="00D61A3D">
        <w:rPr>
          <w:rFonts w:asciiTheme="minorHAnsi" w:hAnsiTheme="minorHAnsi" w:cstheme="minorHAnsi"/>
        </w:rPr>
        <w:t xml:space="preserve">für den Menschen wirken kann. </w:t>
      </w:r>
      <w:r w:rsidR="00F83F13">
        <w:rPr>
          <w:rFonts w:asciiTheme="minorHAnsi" w:hAnsiTheme="minorHAnsi" w:cstheme="minorHAnsi"/>
        </w:rPr>
        <w:t>Obwohl katholischer Priester, versteht Wilhelm Bruners s</w:t>
      </w:r>
      <w:r w:rsidR="00D61A3D">
        <w:rPr>
          <w:rFonts w:asciiTheme="minorHAnsi" w:hAnsiTheme="minorHAnsi" w:cstheme="minorHAnsi"/>
        </w:rPr>
        <w:t xml:space="preserve">eine Texte </w:t>
      </w:r>
      <w:r w:rsidR="00F83F13">
        <w:rPr>
          <w:rFonts w:asciiTheme="minorHAnsi" w:hAnsiTheme="minorHAnsi" w:cstheme="minorHAnsi"/>
        </w:rPr>
        <w:t>als</w:t>
      </w:r>
      <w:r w:rsidR="00D61A3D">
        <w:rPr>
          <w:rFonts w:asciiTheme="minorHAnsi" w:hAnsiTheme="minorHAnsi" w:cstheme="minorHAnsi"/>
        </w:rPr>
        <w:t xml:space="preserve"> ökumenisch, weil Gott über allen Religionen steht. </w:t>
      </w:r>
    </w:p>
    <w:p w:rsidR="00D61A3D" w:rsidRPr="007A6634" w:rsidRDefault="00D61A3D" w:rsidP="00D61A3D">
      <w:pPr>
        <w:rPr>
          <w:rFonts w:asciiTheme="minorHAnsi" w:hAnsiTheme="minorHAnsi" w:cstheme="minorHAnsi"/>
        </w:rPr>
      </w:pPr>
    </w:p>
    <w:p w:rsidR="000877B7" w:rsidRPr="007A6634" w:rsidRDefault="000877B7" w:rsidP="000877B7">
      <w:pPr>
        <w:pStyle w:val="berschrift2"/>
        <w:rPr>
          <w:rFonts w:asciiTheme="minorHAnsi" w:hAnsiTheme="minorHAnsi" w:cstheme="minorHAnsi"/>
          <w:i/>
          <w:iCs/>
          <w:szCs w:val="24"/>
        </w:rPr>
      </w:pPr>
      <w:r w:rsidRPr="007A6634">
        <w:rPr>
          <w:rFonts w:asciiTheme="minorHAnsi" w:hAnsiTheme="minorHAnsi" w:cstheme="minorHAnsi"/>
          <w:i/>
          <w:iCs/>
          <w:szCs w:val="24"/>
        </w:rPr>
        <w:t>Der Autor:</w:t>
      </w:r>
    </w:p>
    <w:p w:rsidR="00A00D5D" w:rsidRPr="00F83F13" w:rsidRDefault="00A00D5D" w:rsidP="00F83F13">
      <w:pPr>
        <w:rPr>
          <w:rFonts w:asciiTheme="minorHAnsi" w:hAnsiTheme="minorHAnsi"/>
          <w:i/>
        </w:rPr>
      </w:pPr>
      <w:r w:rsidRPr="00F83F13">
        <w:rPr>
          <w:rFonts w:asciiTheme="minorHAnsi" w:hAnsiTheme="minorHAnsi" w:cstheme="minorHAnsi"/>
          <w:caps/>
        </w:rPr>
        <w:t>wilhelm bruners</w:t>
      </w:r>
      <w:r w:rsidR="000877B7" w:rsidRPr="00F83F13">
        <w:rPr>
          <w:rFonts w:asciiTheme="minorHAnsi" w:hAnsiTheme="minorHAnsi" w:cstheme="minorHAnsi"/>
          <w:smallCaps/>
        </w:rPr>
        <w:t>,</w:t>
      </w:r>
      <w:r w:rsidR="00BE579F" w:rsidRPr="00F83F13">
        <w:rPr>
          <w:rFonts w:asciiTheme="minorHAnsi" w:hAnsiTheme="minorHAnsi" w:cstheme="minorHAnsi"/>
          <w:smallCaps/>
        </w:rPr>
        <w:t xml:space="preserve"> </w:t>
      </w:r>
      <w:r w:rsidR="000877B7" w:rsidRPr="00F83F13">
        <w:rPr>
          <w:rFonts w:asciiTheme="minorHAnsi" w:hAnsiTheme="minorHAnsi" w:cstheme="minorHAnsi"/>
          <w:smallCaps/>
        </w:rPr>
        <w:t xml:space="preserve"> </w:t>
      </w:r>
      <w:r w:rsidR="00BE579F" w:rsidRPr="00F83F13">
        <w:rPr>
          <w:rFonts w:asciiTheme="minorHAnsi" w:hAnsiTheme="minorHAnsi" w:cstheme="minorHAnsi"/>
        </w:rPr>
        <w:t>geb. 194</w:t>
      </w:r>
      <w:r w:rsidRPr="00F83F13">
        <w:rPr>
          <w:rFonts w:asciiTheme="minorHAnsi" w:hAnsiTheme="minorHAnsi" w:cstheme="minorHAnsi"/>
        </w:rPr>
        <w:t>0</w:t>
      </w:r>
      <w:r w:rsidR="00BE579F" w:rsidRPr="00F83F13">
        <w:rPr>
          <w:rFonts w:asciiTheme="minorHAnsi" w:hAnsiTheme="minorHAnsi" w:cstheme="minorHAnsi"/>
        </w:rPr>
        <w:t>,</w:t>
      </w:r>
      <w:r w:rsidRPr="00F83F13">
        <w:rPr>
          <w:rFonts w:asciiTheme="minorHAnsi" w:hAnsiTheme="minorHAnsi" w:cstheme="minorHAnsi"/>
        </w:rPr>
        <w:t xml:space="preserve"> Studium der Theologie, Schwerpunkt Bibelwissenschaft, </w:t>
      </w:r>
      <w:r w:rsidR="00BE579F" w:rsidRPr="00F83F13">
        <w:rPr>
          <w:rFonts w:asciiTheme="minorHAnsi" w:hAnsiTheme="minorHAnsi" w:cstheme="minorHAnsi"/>
        </w:rPr>
        <w:t xml:space="preserve"> </w:t>
      </w:r>
      <w:r w:rsidRPr="00F83F13">
        <w:rPr>
          <w:rFonts w:asciiTheme="minorHAnsi" w:hAnsiTheme="minorHAnsi"/>
          <w:color w:val="000005"/>
        </w:rPr>
        <w:t>lebt in Mönchengladbach. Er ist Priester im Bistum Aachen und arbeitet vornehmlich in der geistliche</w:t>
      </w:r>
      <w:r w:rsidR="00084BB7" w:rsidRPr="00F83F13">
        <w:rPr>
          <w:rFonts w:asciiTheme="minorHAnsi" w:hAnsiTheme="minorHAnsi"/>
          <w:color w:val="000005"/>
        </w:rPr>
        <w:t>n</w:t>
      </w:r>
      <w:r w:rsidRPr="00F83F13">
        <w:rPr>
          <w:rFonts w:asciiTheme="minorHAnsi" w:hAnsiTheme="minorHAnsi"/>
          <w:color w:val="000005"/>
        </w:rPr>
        <w:t xml:space="preserve"> Begleitung von pastoralen Kolleginnen und Kollegen – unter anderem in österreichischen Bildungshäusern und Klöstern. Seit über fünfzig Jahren beschäftigt er sich mit Literatur und schreibt Gedichte, die vor allem im </w:t>
      </w:r>
      <w:proofErr w:type="spellStart"/>
      <w:r w:rsidRPr="00F83F13">
        <w:rPr>
          <w:rFonts w:asciiTheme="minorHAnsi" w:hAnsiTheme="minorHAnsi"/>
          <w:color w:val="000005"/>
        </w:rPr>
        <w:t>Psalmgebet</w:t>
      </w:r>
      <w:proofErr w:type="spellEnd"/>
      <w:r w:rsidRPr="00F83F13">
        <w:rPr>
          <w:rFonts w:asciiTheme="minorHAnsi" w:hAnsiTheme="minorHAnsi"/>
          <w:color w:val="000005"/>
        </w:rPr>
        <w:t xml:space="preserve"> wurzeln. Er hat </w:t>
      </w:r>
      <w:r w:rsidR="009F3A10">
        <w:rPr>
          <w:rFonts w:asciiTheme="minorHAnsi" w:hAnsiTheme="minorHAnsi"/>
          <w:color w:val="000005"/>
        </w:rPr>
        <w:t>18</w:t>
      </w:r>
      <w:r w:rsidRPr="00F83F13">
        <w:rPr>
          <w:rFonts w:asciiTheme="minorHAnsi" w:hAnsiTheme="minorHAnsi"/>
          <w:color w:val="000005"/>
        </w:rPr>
        <w:t xml:space="preserve"> Jahre in Jerusalem gelebt und gehörte dort einem Kreis von noch in deutscher Sprache schreibenden jüdischen Dichterinnen und Dichtern an. Zahlreiche Werke: „</w:t>
      </w:r>
      <w:r w:rsidRPr="00F83F13">
        <w:rPr>
          <w:rFonts w:asciiTheme="minorHAnsi" w:hAnsiTheme="minorHAnsi"/>
          <w:i/>
        </w:rPr>
        <w:t>Wie Jesus glauben lernte“ (Herder – Neuauflage als TB</w:t>
      </w:r>
      <w:r w:rsidR="002027AC">
        <w:rPr>
          <w:rFonts w:asciiTheme="minorHAnsi" w:hAnsiTheme="minorHAnsi"/>
          <w:i/>
        </w:rPr>
        <w:t xml:space="preserve"> 2012</w:t>
      </w:r>
      <w:r w:rsidRPr="00F83F13">
        <w:rPr>
          <w:rFonts w:asciiTheme="minorHAnsi" w:hAnsiTheme="minorHAnsi"/>
          <w:i/>
        </w:rPr>
        <w:t>), „Und es kam die Zeit. Ein Weg durch das Lukas-Evangelium“</w:t>
      </w:r>
      <w:r w:rsidR="002027AC">
        <w:rPr>
          <w:rFonts w:asciiTheme="minorHAnsi" w:hAnsiTheme="minorHAnsi"/>
          <w:i/>
        </w:rPr>
        <w:t xml:space="preserve"> (2000)</w:t>
      </w:r>
      <w:r w:rsidRPr="00F83F13">
        <w:rPr>
          <w:rFonts w:asciiTheme="minorHAnsi" w:hAnsiTheme="minorHAnsi"/>
          <w:i/>
        </w:rPr>
        <w:t>, „Wechselndes Licht. Oder: Das Fenster im Kasten</w:t>
      </w:r>
      <w:r w:rsidR="003A556E" w:rsidRPr="00F83F13">
        <w:rPr>
          <w:rFonts w:asciiTheme="minorHAnsi" w:hAnsiTheme="minorHAnsi"/>
          <w:i/>
        </w:rPr>
        <w:t>“ (Patmos)</w:t>
      </w:r>
      <w:r w:rsidRPr="00F83F13">
        <w:rPr>
          <w:rFonts w:asciiTheme="minorHAnsi" w:hAnsiTheme="minorHAnsi"/>
          <w:i/>
        </w:rPr>
        <w:t>, „Und die Toten laufen frei herum. Ein Begleiter durch die österliche Zeit“ (Canisiuswerk</w:t>
      </w:r>
      <w:r w:rsidR="002027AC">
        <w:rPr>
          <w:rFonts w:asciiTheme="minorHAnsi" w:hAnsiTheme="minorHAnsi"/>
          <w:i/>
        </w:rPr>
        <w:t xml:space="preserve"> 2010</w:t>
      </w:r>
      <w:r w:rsidRPr="00F83F13">
        <w:rPr>
          <w:rFonts w:asciiTheme="minorHAnsi" w:hAnsiTheme="minorHAnsi"/>
          <w:i/>
        </w:rPr>
        <w:t>), „Was Jesus von Nazareth wollte“</w:t>
      </w:r>
      <w:r w:rsidR="002027AC">
        <w:rPr>
          <w:rFonts w:asciiTheme="minorHAnsi" w:hAnsiTheme="minorHAnsi"/>
          <w:i/>
        </w:rPr>
        <w:t xml:space="preserve"> (2002)</w:t>
      </w:r>
      <w:r w:rsidRPr="00F83F13">
        <w:rPr>
          <w:rFonts w:asciiTheme="minorHAnsi" w:hAnsiTheme="minorHAnsi"/>
          <w:i/>
        </w:rPr>
        <w:t>, „Sich erzählen lassen. Der Mann, der Garten und die Vögel. Geschichten und Gedichte</w:t>
      </w:r>
      <w:r w:rsidR="009F3A10">
        <w:rPr>
          <w:rFonts w:asciiTheme="minorHAnsi" w:hAnsiTheme="minorHAnsi"/>
          <w:i/>
        </w:rPr>
        <w:t>“ (2002).</w:t>
      </w:r>
      <w:r w:rsidRPr="00F83F13">
        <w:rPr>
          <w:rFonts w:asciiTheme="minorHAnsi" w:hAnsiTheme="minorHAnsi"/>
          <w:i/>
        </w:rPr>
        <w:t xml:space="preserve"> </w:t>
      </w:r>
    </w:p>
    <w:p w:rsidR="00177F87" w:rsidRDefault="00177F87"/>
    <w:sectPr w:rsidR="00177F87">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04F" w:rsidRDefault="006B404F">
      <w:r>
        <w:separator/>
      </w:r>
    </w:p>
  </w:endnote>
  <w:endnote w:type="continuationSeparator" w:id="0">
    <w:p w:rsidR="006B404F" w:rsidRDefault="006B4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04F" w:rsidRDefault="006B404F">
      <w:r>
        <w:separator/>
      </w:r>
    </w:p>
  </w:footnote>
  <w:footnote w:type="continuationSeparator" w:id="0">
    <w:p w:rsidR="006B404F" w:rsidRDefault="006B4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10" w:rsidRDefault="009F3A10">
    <w:pPr>
      <w:pStyle w:val="berschrift3"/>
      <w:jc w:val="left"/>
    </w:pPr>
  </w:p>
  <w:p w:rsidR="009F3A10" w:rsidRDefault="009F3A10">
    <w:pPr>
      <w:pStyle w:val="berschrift3"/>
      <w:jc w:val="left"/>
    </w:pPr>
  </w:p>
  <w:p w:rsidR="009F3A10" w:rsidRPr="00400EA7" w:rsidRDefault="009F3A10">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77D16D17"/>
    <w:multiLevelType w:val="hybridMultilevel"/>
    <w:tmpl w:val="390CE3DE"/>
    <w:lvl w:ilvl="0" w:tplc="A7388C9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7B7"/>
    <w:rsid w:val="000264B5"/>
    <w:rsid w:val="00084A22"/>
    <w:rsid w:val="00084BB7"/>
    <w:rsid w:val="000877B7"/>
    <w:rsid w:val="000C3A71"/>
    <w:rsid w:val="00177F87"/>
    <w:rsid w:val="001C00A2"/>
    <w:rsid w:val="001E2488"/>
    <w:rsid w:val="002027AC"/>
    <w:rsid w:val="00296EEB"/>
    <w:rsid w:val="002F1978"/>
    <w:rsid w:val="002F44A3"/>
    <w:rsid w:val="003A556E"/>
    <w:rsid w:val="003E13C7"/>
    <w:rsid w:val="004038DF"/>
    <w:rsid w:val="00411542"/>
    <w:rsid w:val="00443C91"/>
    <w:rsid w:val="004E2A1D"/>
    <w:rsid w:val="005F64FA"/>
    <w:rsid w:val="006B404F"/>
    <w:rsid w:val="00752A2D"/>
    <w:rsid w:val="007B6664"/>
    <w:rsid w:val="007D2BE1"/>
    <w:rsid w:val="00986961"/>
    <w:rsid w:val="009F3A10"/>
    <w:rsid w:val="00A00D5D"/>
    <w:rsid w:val="00A171C2"/>
    <w:rsid w:val="00BE579F"/>
    <w:rsid w:val="00C60E22"/>
    <w:rsid w:val="00C77C7A"/>
    <w:rsid w:val="00CF6DD5"/>
    <w:rsid w:val="00D61A3D"/>
    <w:rsid w:val="00DF3EAC"/>
    <w:rsid w:val="00EE3008"/>
    <w:rsid w:val="00F56EB3"/>
    <w:rsid w:val="00F83F1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77B7"/>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0877B7"/>
    <w:pPr>
      <w:keepNext/>
      <w:outlineLvl w:val="1"/>
    </w:pPr>
    <w:rPr>
      <w:szCs w:val="20"/>
    </w:rPr>
  </w:style>
  <w:style w:type="paragraph" w:styleId="berschrift3">
    <w:name w:val="heading 3"/>
    <w:basedOn w:val="Standard"/>
    <w:next w:val="Standard"/>
    <w:link w:val="berschrift3Zchn"/>
    <w:qFormat/>
    <w:rsid w:val="000877B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0877B7"/>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0877B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0877B7"/>
    <w:pPr>
      <w:tabs>
        <w:tab w:val="center" w:pos="4536"/>
        <w:tab w:val="right" w:pos="9072"/>
      </w:tabs>
    </w:pPr>
    <w:rPr>
      <w:szCs w:val="20"/>
    </w:rPr>
  </w:style>
  <w:style w:type="character" w:customStyle="1" w:styleId="KopfzeileZchn">
    <w:name w:val="Kopfzeile Zchn"/>
    <w:basedOn w:val="Absatz-Standardschriftart"/>
    <w:link w:val="Kopfzeile"/>
    <w:semiHidden/>
    <w:rsid w:val="000877B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0877B7"/>
    <w:pPr>
      <w:tabs>
        <w:tab w:val="center" w:pos="4536"/>
        <w:tab w:val="right" w:pos="9072"/>
      </w:tabs>
    </w:pPr>
    <w:rPr>
      <w:szCs w:val="20"/>
    </w:rPr>
  </w:style>
  <w:style w:type="character" w:customStyle="1" w:styleId="FuzeileZchn">
    <w:name w:val="Fußzeile Zchn"/>
    <w:basedOn w:val="Absatz-Standardschriftart"/>
    <w:link w:val="Fuzeile"/>
    <w:semiHidden/>
    <w:rsid w:val="000877B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0877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77B7"/>
    <w:rPr>
      <w:rFonts w:ascii="Tahoma" w:eastAsia="Times New Roman" w:hAnsi="Tahoma" w:cs="Tahoma"/>
      <w:sz w:val="16"/>
      <w:szCs w:val="16"/>
      <w:lang w:val="de-DE" w:eastAsia="de-DE"/>
    </w:rPr>
  </w:style>
  <w:style w:type="paragraph" w:styleId="Listenabsatz">
    <w:name w:val="List Paragraph"/>
    <w:basedOn w:val="Standard"/>
    <w:uiPriority w:val="34"/>
    <w:qFormat/>
    <w:rsid w:val="00A00D5D"/>
    <w:pPr>
      <w:spacing w:after="200" w:line="276" w:lineRule="auto"/>
      <w:ind w:left="720"/>
      <w:contextualSpacing/>
    </w:pPr>
    <w:rPr>
      <w:rFonts w:asciiTheme="minorHAnsi" w:eastAsiaTheme="minorHAnsi" w:hAnsiTheme="minorHAnsi" w:cstheme="minorBid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77B7"/>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0877B7"/>
    <w:pPr>
      <w:keepNext/>
      <w:outlineLvl w:val="1"/>
    </w:pPr>
    <w:rPr>
      <w:szCs w:val="20"/>
    </w:rPr>
  </w:style>
  <w:style w:type="paragraph" w:styleId="berschrift3">
    <w:name w:val="heading 3"/>
    <w:basedOn w:val="Standard"/>
    <w:next w:val="Standard"/>
    <w:link w:val="berschrift3Zchn"/>
    <w:qFormat/>
    <w:rsid w:val="000877B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0877B7"/>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0877B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0877B7"/>
    <w:pPr>
      <w:tabs>
        <w:tab w:val="center" w:pos="4536"/>
        <w:tab w:val="right" w:pos="9072"/>
      </w:tabs>
    </w:pPr>
    <w:rPr>
      <w:szCs w:val="20"/>
    </w:rPr>
  </w:style>
  <w:style w:type="character" w:customStyle="1" w:styleId="KopfzeileZchn">
    <w:name w:val="Kopfzeile Zchn"/>
    <w:basedOn w:val="Absatz-Standardschriftart"/>
    <w:link w:val="Kopfzeile"/>
    <w:semiHidden/>
    <w:rsid w:val="000877B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0877B7"/>
    <w:pPr>
      <w:tabs>
        <w:tab w:val="center" w:pos="4536"/>
        <w:tab w:val="right" w:pos="9072"/>
      </w:tabs>
    </w:pPr>
    <w:rPr>
      <w:szCs w:val="20"/>
    </w:rPr>
  </w:style>
  <w:style w:type="character" w:customStyle="1" w:styleId="FuzeileZchn">
    <w:name w:val="Fußzeile Zchn"/>
    <w:basedOn w:val="Absatz-Standardschriftart"/>
    <w:link w:val="Fuzeile"/>
    <w:semiHidden/>
    <w:rsid w:val="000877B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0877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77B7"/>
    <w:rPr>
      <w:rFonts w:ascii="Tahoma" w:eastAsia="Times New Roman" w:hAnsi="Tahoma" w:cs="Tahoma"/>
      <w:sz w:val="16"/>
      <w:szCs w:val="16"/>
      <w:lang w:val="de-DE" w:eastAsia="de-DE"/>
    </w:rPr>
  </w:style>
  <w:style w:type="paragraph" w:styleId="Listenabsatz">
    <w:name w:val="List Paragraph"/>
    <w:basedOn w:val="Standard"/>
    <w:uiPriority w:val="34"/>
    <w:qFormat/>
    <w:rsid w:val="00A00D5D"/>
    <w:pPr>
      <w:spacing w:after="200" w:line="276" w:lineRule="auto"/>
      <w:ind w:left="720"/>
      <w:contextualSpacing/>
    </w:pPr>
    <w:rPr>
      <w:rFonts w:asciiTheme="minorHAnsi" w:eastAsiaTheme="minorHAnsi" w:hAnsiTheme="minorHAnsi" w:cstheme="minorBid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Öttl Melanie</cp:lastModifiedBy>
  <cp:revision>4</cp:revision>
  <dcterms:created xsi:type="dcterms:W3CDTF">2015-04-01T12:14:00Z</dcterms:created>
  <dcterms:modified xsi:type="dcterms:W3CDTF">2017-09-11T08:38:00Z</dcterms:modified>
</cp:coreProperties>
</file>