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7B7" w:rsidRPr="00CB6BDA" w:rsidRDefault="00EB52AC" w:rsidP="000877B7">
      <w:pPr>
        <w:pStyle w:val="Kopfzeile"/>
        <w:tabs>
          <w:tab w:val="clear" w:pos="4536"/>
          <w:tab w:val="clear" w:pos="9072"/>
          <w:tab w:val="left" w:pos="7797"/>
        </w:tabs>
        <w:rPr>
          <w:rFonts w:asciiTheme="minorHAnsi" w:hAnsiTheme="minorHAnsi" w:cs="Calibri"/>
          <w:sz w:val="22"/>
          <w:szCs w:val="22"/>
          <w:lang w:val="de-AT"/>
        </w:rPr>
      </w:pPr>
      <w:r>
        <w:rPr>
          <w:rFonts w:ascii="Calibri" w:hAnsi="Calibri"/>
          <w:b/>
          <w:noProof/>
          <w:sz w:val="28"/>
          <w:szCs w:val="28"/>
          <w:lang w:val="de-AT" w:eastAsia="de-AT"/>
        </w:rPr>
        <w:drawing>
          <wp:anchor distT="0" distB="0" distL="114300" distR="114300" simplePos="0" relativeHeight="251658240" behindDoc="0" locked="0" layoutInCell="1" allowOverlap="1" wp14:anchorId="017A79E1" wp14:editId="52A2531A">
            <wp:simplePos x="0" y="0"/>
            <wp:positionH relativeFrom="column">
              <wp:posOffset>3757931</wp:posOffset>
            </wp:positionH>
            <wp:positionV relativeFrom="paragraph">
              <wp:posOffset>74930</wp:posOffset>
            </wp:positionV>
            <wp:extent cx="1805560" cy="2953512"/>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00-3_Dirnbeck - Traen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7835" cy="2957233"/>
                    </a:xfrm>
                    <a:prstGeom prst="rect">
                      <a:avLst/>
                    </a:prstGeom>
                  </pic:spPr>
                </pic:pic>
              </a:graphicData>
            </a:graphic>
            <wp14:sizeRelH relativeFrom="page">
              <wp14:pctWidth>0</wp14:pctWidth>
            </wp14:sizeRelH>
            <wp14:sizeRelV relativeFrom="page">
              <wp14:pctHeight>0</wp14:pctHeight>
            </wp14:sizeRelV>
          </wp:anchor>
        </w:drawing>
      </w:r>
    </w:p>
    <w:p w:rsidR="00EB52AC" w:rsidRDefault="00EB52AC" w:rsidP="000877B7">
      <w:pPr>
        <w:tabs>
          <w:tab w:val="left" w:pos="7797"/>
        </w:tabs>
        <w:rPr>
          <w:rFonts w:ascii="Calibri" w:hAnsi="Calibri"/>
        </w:rPr>
      </w:pPr>
    </w:p>
    <w:p w:rsidR="000877B7" w:rsidRPr="00DE5A7D" w:rsidRDefault="000877B7" w:rsidP="000877B7">
      <w:pPr>
        <w:tabs>
          <w:tab w:val="left" w:pos="7797"/>
        </w:tabs>
        <w:rPr>
          <w:rFonts w:ascii="Calibri" w:hAnsi="Calibri"/>
        </w:rPr>
      </w:pPr>
      <w:r w:rsidRPr="00DE5A7D">
        <w:rPr>
          <w:rFonts w:ascii="Calibri" w:hAnsi="Calibri"/>
        </w:rPr>
        <w:t xml:space="preserve">Josef </w:t>
      </w:r>
      <w:proofErr w:type="spellStart"/>
      <w:r w:rsidRPr="00DE5A7D">
        <w:rPr>
          <w:rFonts w:ascii="Calibri" w:hAnsi="Calibri"/>
        </w:rPr>
        <w:t>Dirnbeck</w:t>
      </w:r>
      <w:proofErr w:type="spellEnd"/>
    </w:p>
    <w:p w:rsidR="000877B7" w:rsidRPr="00DE5A7D" w:rsidRDefault="000877B7" w:rsidP="000877B7">
      <w:pPr>
        <w:tabs>
          <w:tab w:val="left" w:pos="7797"/>
        </w:tabs>
        <w:rPr>
          <w:rFonts w:ascii="Calibri" w:hAnsi="Calibri"/>
          <w:b/>
          <w:sz w:val="28"/>
          <w:szCs w:val="28"/>
        </w:rPr>
      </w:pPr>
      <w:r>
        <w:rPr>
          <w:rFonts w:ascii="Calibri" w:hAnsi="Calibri"/>
          <w:b/>
          <w:sz w:val="28"/>
          <w:szCs w:val="28"/>
        </w:rPr>
        <w:t>Die Tränen haben nicht das letzte Wort</w:t>
      </w:r>
    </w:p>
    <w:p w:rsidR="000877B7" w:rsidRPr="00DE5A7D" w:rsidRDefault="000877B7" w:rsidP="000877B7">
      <w:pPr>
        <w:tabs>
          <w:tab w:val="left" w:pos="7797"/>
        </w:tabs>
        <w:rPr>
          <w:rFonts w:ascii="Calibri" w:hAnsi="Calibri"/>
        </w:rPr>
      </w:pPr>
      <w:r>
        <w:rPr>
          <w:rFonts w:ascii="Calibri" w:hAnsi="Calibri"/>
        </w:rPr>
        <w:t>Wege durch die Trauer</w:t>
      </w:r>
    </w:p>
    <w:p w:rsidR="000877B7" w:rsidRDefault="00E716B4" w:rsidP="000877B7">
      <w:pPr>
        <w:tabs>
          <w:tab w:val="left" w:pos="7797"/>
        </w:tabs>
        <w:rPr>
          <w:rFonts w:ascii="Calibri" w:hAnsi="Calibri"/>
          <w:i/>
        </w:rPr>
      </w:pPr>
      <w:r>
        <w:rPr>
          <w:rFonts w:ascii="Calibri" w:hAnsi="Calibri"/>
          <w:i/>
        </w:rPr>
        <w:t>128</w:t>
      </w:r>
      <w:r w:rsidR="000877B7" w:rsidRPr="00CD4789">
        <w:rPr>
          <w:rFonts w:ascii="Calibri" w:hAnsi="Calibri"/>
          <w:i/>
        </w:rPr>
        <w:t xml:space="preserve"> S., 11 x 18 cm, gebunden, </w:t>
      </w:r>
      <w:proofErr w:type="spellStart"/>
      <w:r w:rsidR="000877B7" w:rsidRPr="00CD4789">
        <w:rPr>
          <w:rFonts w:ascii="Calibri" w:hAnsi="Calibri"/>
          <w:i/>
        </w:rPr>
        <w:t>Leseband</w:t>
      </w:r>
      <w:proofErr w:type="spellEnd"/>
    </w:p>
    <w:p w:rsidR="00E716B4" w:rsidRPr="00DE5A7D" w:rsidRDefault="00E716B4" w:rsidP="000877B7">
      <w:pPr>
        <w:tabs>
          <w:tab w:val="left" w:pos="7797"/>
        </w:tabs>
        <w:rPr>
          <w:rFonts w:ascii="Calibri" w:hAnsi="Calibri"/>
        </w:rPr>
      </w:pPr>
      <w:r>
        <w:rPr>
          <w:rFonts w:ascii="Calibri" w:hAnsi="Calibri"/>
          <w:i/>
        </w:rPr>
        <w:t>Tyrolia-Verlag, Innsbruck-Wien 2014</w:t>
      </w:r>
    </w:p>
    <w:p w:rsidR="000877B7" w:rsidRPr="00DE5A7D" w:rsidRDefault="000877B7" w:rsidP="000877B7">
      <w:pPr>
        <w:rPr>
          <w:rFonts w:ascii="Calibri" w:hAnsi="Calibri" w:cs="Calibri"/>
          <w:i/>
        </w:rPr>
      </w:pPr>
      <w:r w:rsidRPr="00DE5A7D">
        <w:rPr>
          <w:rFonts w:ascii="Calibri" w:hAnsi="Calibri" w:cs="Calibri"/>
          <w:i/>
        </w:rPr>
        <w:t>ISBN 978-3-7022-</w:t>
      </w:r>
      <w:r>
        <w:rPr>
          <w:rFonts w:ascii="Calibri" w:hAnsi="Calibri" w:cs="Calibri"/>
          <w:i/>
        </w:rPr>
        <w:t>3400-3</w:t>
      </w:r>
    </w:p>
    <w:p w:rsidR="000877B7" w:rsidRPr="00995B99" w:rsidRDefault="000877B7" w:rsidP="000877B7">
      <w:pPr>
        <w:tabs>
          <w:tab w:val="left" w:pos="7797"/>
        </w:tabs>
        <w:rPr>
          <w:rFonts w:ascii="Calibri" w:hAnsi="Calibri"/>
          <w:i/>
        </w:rPr>
      </w:pPr>
      <w:r>
        <w:rPr>
          <w:rFonts w:ascii="Calibri" w:hAnsi="Calibri"/>
          <w:i/>
        </w:rPr>
        <w:t xml:space="preserve">€ </w:t>
      </w:r>
      <w:r w:rsidRPr="00995B99">
        <w:rPr>
          <w:rFonts w:ascii="Calibri" w:hAnsi="Calibri"/>
          <w:i/>
        </w:rPr>
        <w:t xml:space="preserve">12,95 </w:t>
      </w:r>
    </w:p>
    <w:p w:rsidR="000877B7" w:rsidRDefault="000877B7" w:rsidP="000877B7">
      <w:pPr>
        <w:tabs>
          <w:tab w:val="left" w:pos="7797"/>
        </w:tabs>
        <w:rPr>
          <w:rFonts w:ascii="Calibri" w:hAnsi="Calibri" w:cs="Calibri"/>
          <w:i/>
        </w:rPr>
      </w:pPr>
      <w:r>
        <w:rPr>
          <w:rFonts w:ascii="Calibri" w:hAnsi="Calibri" w:cs="Calibri"/>
          <w:i/>
          <w:iCs/>
        </w:rPr>
        <w:t xml:space="preserve">Auch als E-Book erhältlich: </w:t>
      </w:r>
      <w:r w:rsidR="00EB52AC">
        <w:rPr>
          <w:rFonts w:ascii="Calibri" w:hAnsi="Calibri" w:cs="Calibri"/>
          <w:i/>
          <w:iCs/>
        </w:rPr>
        <w:br/>
      </w:r>
      <w:r w:rsidR="00E716B4">
        <w:rPr>
          <w:rFonts w:ascii="Calibri" w:hAnsi="Calibri" w:cs="Calibri"/>
          <w:i/>
        </w:rPr>
        <w:t>ISBN 978-3-7022-3401-0, 10,99 €</w:t>
      </w:r>
    </w:p>
    <w:p w:rsidR="00EB52AC" w:rsidRDefault="00EB52AC" w:rsidP="000877B7">
      <w:pPr>
        <w:tabs>
          <w:tab w:val="left" w:pos="7797"/>
        </w:tabs>
        <w:rPr>
          <w:rFonts w:ascii="Calibri" w:hAnsi="Calibri" w:cs="Calibri"/>
          <w:i/>
        </w:rPr>
      </w:pPr>
    </w:p>
    <w:p w:rsidR="00EB52AC" w:rsidRDefault="00EB52AC" w:rsidP="000877B7">
      <w:pPr>
        <w:tabs>
          <w:tab w:val="left" w:pos="7797"/>
        </w:tabs>
        <w:rPr>
          <w:rFonts w:ascii="Calibri" w:hAnsi="Calibri" w:cs="Calibri"/>
          <w:i/>
        </w:rPr>
      </w:pPr>
      <w:bookmarkStart w:id="0" w:name="_GoBack"/>
      <w:bookmarkEnd w:id="0"/>
    </w:p>
    <w:p w:rsidR="00EB52AC" w:rsidRDefault="00EB52AC" w:rsidP="000877B7">
      <w:pPr>
        <w:tabs>
          <w:tab w:val="left" w:pos="7797"/>
        </w:tabs>
        <w:rPr>
          <w:rFonts w:ascii="Calibri" w:hAnsi="Calibri" w:cs="Calibri"/>
          <w:i/>
        </w:rPr>
      </w:pPr>
    </w:p>
    <w:p w:rsidR="000877B7" w:rsidRDefault="00EB52AC" w:rsidP="000877B7">
      <w:pPr>
        <w:ind w:right="709"/>
        <w:jc w:val="both"/>
        <w:rPr>
          <w:rFonts w:asciiTheme="minorHAnsi" w:hAnsiTheme="minorHAnsi" w:cstheme="minorHAnsi"/>
          <w:b/>
          <w:sz w:val="28"/>
          <w:szCs w:val="28"/>
        </w:rPr>
      </w:pPr>
      <w:r w:rsidRPr="00EB52AC">
        <w:rPr>
          <w:rFonts w:asciiTheme="minorHAnsi" w:hAnsiTheme="minorHAnsi" w:cstheme="minorHAnsi"/>
          <w:b/>
          <w:sz w:val="28"/>
          <w:szCs w:val="28"/>
        </w:rPr>
        <w:t>Der Trauer die Schwermut nehmen</w:t>
      </w:r>
    </w:p>
    <w:p w:rsidR="00EB52AC" w:rsidRPr="00EB52AC" w:rsidRDefault="00EB52AC" w:rsidP="000877B7">
      <w:pPr>
        <w:ind w:right="709"/>
        <w:jc w:val="both"/>
        <w:rPr>
          <w:rFonts w:asciiTheme="minorHAnsi" w:hAnsiTheme="minorHAnsi" w:cstheme="minorHAnsi"/>
          <w:b/>
        </w:rPr>
      </w:pPr>
      <w:r w:rsidRPr="00EB52AC">
        <w:rPr>
          <w:rFonts w:asciiTheme="minorHAnsi" w:hAnsiTheme="minorHAnsi" w:cstheme="minorHAnsi"/>
          <w:b/>
        </w:rPr>
        <w:t>Durch Bibel und Literatur neue Hoffnung erfahren</w:t>
      </w:r>
    </w:p>
    <w:p w:rsidR="000877B7" w:rsidRPr="007A6634" w:rsidRDefault="000877B7" w:rsidP="000877B7">
      <w:pPr>
        <w:rPr>
          <w:rFonts w:asciiTheme="minorHAnsi" w:hAnsiTheme="minorHAnsi" w:cstheme="minorHAnsi"/>
          <w:b/>
        </w:rPr>
      </w:pPr>
    </w:p>
    <w:p w:rsidR="00C60E22" w:rsidRDefault="00BE579F" w:rsidP="000877B7">
      <w:pPr>
        <w:rPr>
          <w:rFonts w:asciiTheme="minorHAnsi" w:hAnsiTheme="minorHAnsi" w:cstheme="minorHAnsi"/>
        </w:rPr>
      </w:pPr>
      <w:r>
        <w:rPr>
          <w:rFonts w:asciiTheme="minorHAnsi" w:hAnsiTheme="minorHAnsi" w:cstheme="minorHAnsi"/>
        </w:rPr>
        <w:t xml:space="preserve">Mit dem Problem der Trauer </w:t>
      </w:r>
      <w:r w:rsidR="00C77C7A">
        <w:rPr>
          <w:rFonts w:asciiTheme="minorHAnsi" w:hAnsiTheme="minorHAnsi" w:cstheme="minorHAnsi"/>
        </w:rPr>
        <w:t>ist früher oder später jeder konfrontiert. Ob Christ oder nicht, keinem blei</w:t>
      </w:r>
      <w:r w:rsidR="00152CAF">
        <w:rPr>
          <w:rFonts w:asciiTheme="minorHAnsi" w:hAnsiTheme="minorHAnsi" w:cstheme="minorHAnsi"/>
        </w:rPr>
        <w:t>bt die Trauerarbeit erspart. Sie</w:t>
      </w:r>
      <w:r w:rsidR="00C77C7A">
        <w:rPr>
          <w:rFonts w:asciiTheme="minorHAnsi" w:hAnsiTheme="minorHAnsi" w:cstheme="minorHAnsi"/>
        </w:rPr>
        <w:t xml:space="preserve"> bedeutet, die verschiedenen Phasen der Trauer zu durchleben – und diese sind mit </w:t>
      </w:r>
      <w:r w:rsidR="00C60E22">
        <w:rPr>
          <w:rFonts w:asciiTheme="minorHAnsi" w:hAnsiTheme="minorHAnsi" w:cstheme="minorHAnsi"/>
        </w:rPr>
        <w:t>Schock, dem Gefühl, aus der Bahn geworfen zu werden, dem Alleinsein, der Frage nach Schuld und auch der Wut gegenüber der geliebten verstorbenen Person verbunden</w:t>
      </w:r>
      <w:r w:rsidR="00C77C7A">
        <w:rPr>
          <w:rFonts w:asciiTheme="minorHAnsi" w:hAnsiTheme="minorHAnsi" w:cstheme="minorHAnsi"/>
        </w:rPr>
        <w:t xml:space="preserve">. </w:t>
      </w:r>
      <w:r w:rsidR="00C60E22">
        <w:rPr>
          <w:rFonts w:asciiTheme="minorHAnsi" w:hAnsiTheme="minorHAnsi" w:cstheme="minorHAnsi"/>
        </w:rPr>
        <w:t xml:space="preserve">Und doch trauern gläubige Christen anders. Sie trauern mit Hoffnung. </w:t>
      </w:r>
    </w:p>
    <w:p w:rsidR="00152CAF" w:rsidRDefault="00152CAF" w:rsidP="000877B7">
      <w:pPr>
        <w:rPr>
          <w:rFonts w:asciiTheme="minorHAnsi" w:hAnsiTheme="minorHAnsi" w:cstheme="minorHAnsi"/>
        </w:rPr>
      </w:pPr>
    </w:p>
    <w:p w:rsidR="000877B7" w:rsidRDefault="00C60E22" w:rsidP="000877B7">
      <w:pPr>
        <w:rPr>
          <w:rFonts w:asciiTheme="minorHAnsi" w:hAnsiTheme="minorHAnsi" w:cstheme="minorHAnsi"/>
        </w:rPr>
      </w:pPr>
      <w:r>
        <w:rPr>
          <w:rFonts w:asciiTheme="minorHAnsi" w:hAnsiTheme="minorHAnsi" w:cstheme="minorHAnsi"/>
        </w:rPr>
        <w:t xml:space="preserve">Josef </w:t>
      </w:r>
      <w:proofErr w:type="spellStart"/>
      <w:r>
        <w:rPr>
          <w:rFonts w:asciiTheme="minorHAnsi" w:hAnsiTheme="minorHAnsi" w:cstheme="minorHAnsi"/>
        </w:rPr>
        <w:t>Dirnbeck</w:t>
      </w:r>
      <w:proofErr w:type="spellEnd"/>
      <w:r>
        <w:rPr>
          <w:rFonts w:asciiTheme="minorHAnsi" w:hAnsiTheme="minorHAnsi" w:cstheme="minorHAnsi"/>
        </w:rPr>
        <w:t xml:space="preserve"> führt in diesem Buch aus, worin diese Hoffnung besteht und wie sie erfahrbar ist. Dabei greift er auf biblische Beispiele zurück, erzählt von Erfahrungen und der Schwierigkeit, an </w:t>
      </w:r>
      <w:r w:rsidR="00411542">
        <w:rPr>
          <w:rFonts w:asciiTheme="minorHAnsi" w:hAnsiTheme="minorHAnsi" w:cstheme="minorHAnsi"/>
        </w:rPr>
        <w:t xml:space="preserve">einen </w:t>
      </w:r>
      <w:r>
        <w:rPr>
          <w:rFonts w:asciiTheme="minorHAnsi" w:hAnsiTheme="minorHAnsi" w:cstheme="minorHAnsi"/>
        </w:rPr>
        <w:t xml:space="preserve">Gott zu glauben, der das Leid zulässt. </w:t>
      </w:r>
      <w:r w:rsidR="00411542">
        <w:rPr>
          <w:rFonts w:asciiTheme="minorHAnsi" w:hAnsiTheme="minorHAnsi" w:cstheme="minorHAnsi"/>
        </w:rPr>
        <w:t>Der Autor</w:t>
      </w:r>
      <w:r>
        <w:rPr>
          <w:rFonts w:asciiTheme="minorHAnsi" w:hAnsiTheme="minorHAnsi" w:cstheme="minorHAnsi"/>
        </w:rPr>
        <w:t xml:space="preserve"> </w:t>
      </w:r>
      <w:r w:rsidR="00411542">
        <w:rPr>
          <w:rFonts w:asciiTheme="minorHAnsi" w:hAnsiTheme="minorHAnsi" w:cstheme="minorHAnsi"/>
        </w:rPr>
        <w:t>verweist als Beispiel auf</w:t>
      </w:r>
      <w:r w:rsidR="005F64FA">
        <w:rPr>
          <w:rFonts w:asciiTheme="minorHAnsi" w:hAnsiTheme="minorHAnsi" w:cstheme="minorHAnsi"/>
        </w:rPr>
        <w:t xml:space="preserve"> den </w:t>
      </w:r>
      <w:r>
        <w:rPr>
          <w:rFonts w:asciiTheme="minorHAnsi" w:hAnsiTheme="minorHAnsi" w:cstheme="minorHAnsi"/>
        </w:rPr>
        <w:t xml:space="preserve">bekannten Psychotherapeuten Viktor Frankl, </w:t>
      </w:r>
      <w:r w:rsidR="00411542">
        <w:rPr>
          <w:rFonts w:asciiTheme="minorHAnsi" w:hAnsiTheme="minorHAnsi" w:cstheme="minorHAnsi"/>
        </w:rPr>
        <w:t xml:space="preserve">der </w:t>
      </w:r>
      <w:r>
        <w:rPr>
          <w:rFonts w:asciiTheme="minorHAnsi" w:hAnsiTheme="minorHAnsi" w:cstheme="minorHAnsi"/>
        </w:rPr>
        <w:t>„trotz allem Ja zum Leben</w:t>
      </w:r>
      <w:r w:rsidR="00411542">
        <w:rPr>
          <w:rFonts w:asciiTheme="minorHAnsi" w:hAnsiTheme="minorHAnsi" w:cstheme="minorHAnsi"/>
        </w:rPr>
        <w:t>“</w:t>
      </w:r>
      <w:r>
        <w:rPr>
          <w:rFonts w:asciiTheme="minorHAnsi" w:hAnsiTheme="minorHAnsi" w:cstheme="minorHAnsi"/>
        </w:rPr>
        <w:t xml:space="preserve"> </w:t>
      </w:r>
      <w:r w:rsidR="00411542">
        <w:rPr>
          <w:rFonts w:asciiTheme="minorHAnsi" w:hAnsiTheme="minorHAnsi" w:cstheme="minorHAnsi"/>
        </w:rPr>
        <w:t>sagen kann</w:t>
      </w:r>
      <w:r>
        <w:rPr>
          <w:rFonts w:asciiTheme="minorHAnsi" w:hAnsiTheme="minorHAnsi" w:cstheme="minorHAnsi"/>
        </w:rPr>
        <w:t xml:space="preserve"> und bringt mit einer Satire aus dem alten Rom die </w:t>
      </w:r>
      <w:r w:rsidR="005F64FA">
        <w:rPr>
          <w:rFonts w:asciiTheme="minorHAnsi" w:hAnsiTheme="minorHAnsi" w:cstheme="minorHAnsi"/>
        </w:rPr>
        <w:t xml:space="preserve">Konsequenzen auf den Punkt, wenn sich jemand nicht trösten lassen will. </w:t>
      </w:r>
    </w:p>
    <w:p w:rsidR="00152CAF" w:rsidRDefault="00152CAF" w:rsidP="000877B7">
      <w:pPr>
        <w:rPr>
          <w:rFonts w:asciiTheme="minorHAnsi" w:hAnsiTheme="minorHAnsi" w:cstheme="minorHAnsi"/>
        </w:rPr>
      </w:pPr>
    </w:p>
    <w:p w:rsidR="005F64FA" w:rsidRDefault="005F64FA" w:rsidP="000877B7">
      <w:pPr>
        <w:rPr>
          <w:rFonts w:asciiTheme="minorHAnsi" w:hAnsiTheme="minorHAnsi" w:cstheme="minorHAnsi"/>
        </w:rPr>
      </w:pPr>
      <w:proofErr w:type="spellStart"/>
      <w:r>
        <w:rPr>
          <w:rFonts w:asciiTheme="minorHAnsi" w:hAnsiTheme="minorHAnsi" w:cstheme="minorHAnsi"/>
        </w:rPr>
        <w:t>Dirnbeck</w:t>
      </w:r>
      <w:proofErr w:type="spellEnd"/>
      <w:r>
        <w:rPr>
          <w:rFonts w:asciiTheme="minorHAnsi" w:hAnsiTheme="minorHAnsi" w:cstheme="minorHAnsi"/>
        </w:rPr>
        <w:t xml:space="preserve"> versteht es</w:t>
      </w:r>
      <w:r w:rsidR="00411542">
        <w:rPr>
          <w:rFonts w:asciiTheme="minorHAnsi" w:hAnsiTheme="minorHAnsi" w:cstheme="minorHAnsi"/>
        </w:rPr>
        <w:t>,</w:t>
      </w:r>
      <w:r>
        <w:rPr>
          <w:rFonts w:asciiTheme="minorHAnsi" w:hAnsiTheme="minorHAnsi" w:cstheme="minorHAnsi"/>
        </w:rPr>
        <w:t xml:space="preserve"> </w:t>
      </w:r>
      <w:r w:rsidR="00411542">
        <w:rPr>
          <w:rFonts w:asciiTheme="minorHAnsi" w:hAnsiTheme="minorHAnsi" w:cstheme="minorHAnsi"/>
        </w:rPr>
        <w:t xml:space="preserve">ohne oberflächliche und schnelle Trostzuweisungen dem ernsten Thema „Trauer“ die Schwermut zu nehmen. Als Pate dafür stehen sein feines Gefühl, der Sprache einen gewissen Wortwitz zu verleihen und seine biblischen Grundlagen, mit denen er den Menschen Hoffnung vermitteln kann. </w:t>
      </w:r>
    </w:p>
    <w:p w:rsidR="00411542" w:rsidRPr="007A6634" w:rsidRDefault="00411542" w:rsidP="000877B7">
      <w:pPr>
        <w:rPr>
          <w:rFonts w:asciiTheme="minorHAnsi" w:hAnsiTheme="minorHAnsi" w:cstheme="minorHAnsi"/>
        </w:rPr>
      </w:pPr>
    </w:p>
    <w:p w:rsidR="000877B7" w:rsidRPr="007A6634" w:rsidRDefault="000877B7" w:rsidP="000877B7">
      <w:pPr>
        <w:pStyle w:val="berschrift2"/>
        <w:rPr>
          <w:rFonts w:asciiTheme="minorHAnsi" w:hAnsiTheme="minorHAnsi" w:cstheme="minorHAnsi"/>
          <w:i/>
          <w:iCs/>
          <w:szCs w:val="24"/>
        </w:rPr>
      </w:pPr>
      <w:r w:rsidRPr="007A6634">
        <w:rPr>
          <w:rFonts w:asciiTheme="minorHAnsi" w:hAnsiTheme="minorHAnsi" w:cstheme="minorHAnsi"/>
          <w:i/>
          <w:iCs/>
          <w:szCs w:val="24"/>
        </w:rPr>
        <w:t>Der Autor:</w:t>
      </w:r>
    </w:p>
    <w:p w:rsidR="00BE579F" w:rsidRPr="00206E20" w:rsidRDefault="00BE579F" w:rsidP="00BE579F">
      <w:pPr>
        <w:rPr>
          <w:rFonts w:asciiTheme="minorHAnsi" w:hAnsiTheme="minorHAnsi" w:cstheme="minorHAnsi"/>
          <w:color w:val="000000"/>
        </w:rPr>
      </w:pPr>
      <w:r>
        <w:rPr>
          <w:rFonts w:asciiTheme="minorHAnsi" w:hAnsiTheme="minorHAnsi" w:cstheme="minorHAnsi"/>
          <w:caps/>
          <w:lang w:val="de-AT"/>
        </w:rPr>
        <w:t>josef dirnbeck</w:t>
      </w:r>
      <w:r w:rsidR="000877B7" w:rsidRPr="007A6634">
        <w:rPr>
          <w:rFonts w:asciiTheme="minorHAnsi" w:hAnsiTheme="minorHAnsi" w:cstheme="minorHAnsi"/>
          <w:smallCaps/>
          <w:lang w:val="de-AT"/>
        </w:rPr>
        <w:t>,</w:t>
      </w:r>
      <w:r>
        <w:rPr>
          <w:rFonts w:asciiTheme="minorHAnsi" w:hAnsiTheme="minorHAnsi" w:cstheme="minorHAnsi"/>
          <w:smallCaps/>
          <w:lang w:val="de-AT"/>
        </w:rPr>
        <w:t xml:space="preserve"> </w:t>
      </w:r>
      <w:r w:rsidR="000877B7" w:rsidRPr="007A6634">
        <w:rPr>
          <w:rFonts w:asciiTheme="minorHAnsi" w:hAnsiTheme="minorHAnsi" w:cstheme="minorHAnsi"/>
          <w:smallCaps/>
          <w:lang w:val="de-AT"/>
        </w:rPr>
        <w:t xml:space="preserve"> </w:t>
      </w:r>
      <w:r w:rsidRPr="00DA3B0A">
        <w:rPr>
          <w:rFonts w:asciiTheme="minorHAnsi" w:hAnsiTheme="minorHAnsi" w:cstheme="minorHAnsi"/>
          <w:sz w:val="22"/>
          <w:szCs w:val="22"/>
        </w:rPr>
        <w:t>geb. 19</w:t>
      </w:r>
      <w:r>
        <w:rPr>
          <w:rFonts w:asciiTheme="minorHAnsi" w:hAnsiTheme="minorHAnsi" w:cstheme="minorHAnsi"/>
          <w:sz w:val="22"/>
          <w:szCs w:val="22"/>
        </w:rPr>
        <w:t>48</w:t>
      </w:r>
      <w:r w:rsidRPr="00DA3B0A">
        <w:rPr>
          <w:rFonts w:asciiTheme="minorHAnsi" w:hAnsiTheme="minorHAnsi" w:cstheme="minorHAnsi"/>
          <w:sz w:val="22"/>
          <w:szCs w:val="22"/>
        </w:rPr>
        <w:t xml:space="preserve">, </w:t>
      </w:r>
      <w:r>
        <w:rPr>
          <w:rFonts w:asciiTheme="minorHAnsi" w:hAnsiTheme="minorHAnsi" w:cstheme="minorHAnsi"/>
          <w:sz w:val="22"/>
          <w:szCs w:val="22"/>
        </w:rPr>
        <w:t xml:space="preserve">diplomierter Theologe, Mitglied des österreichischen PEN-Clubs und der Wiener Musikgalerie. Der Autor lebt als freier Schriftsteller in Wien und Nürnberg, publiziert </w:t>
      </w:r>
      <w:r w:rsidR="007D2BE1">
        <w:rPr>
          <w:rFonts w:asciiTheme="minorHAnsi" w:hAnsiTheme="minorHAnsi" w:cstheme="minorHAnsi"/>
          <w:sz w:val="22"/>
          <w:szCs w:val="22"/>
        </w:rPr>
        <w:t xml:space="preserve">seit vielen Jahren </w:t>
      </w:r>
      <w:r>
        <w:rPr>
          <w:rFonts w:asciiTheme="minorHAnsi" w:hAnsiTheme="minorHAnsi" w:cstheme="minorHAnsi"/>
          <w:sz w:val="22"/>
          <w:szCs w:val="22"/>
        </w:rPr>
        <w:t>auf den Gebieten Theologie und Literatur (neben zahlreichen Büchern auch Hörspiele und Zeitungsartikel) und wurde für sein Schaffen mit verschiedenen Preisen ausgezeichnet. Zahlreiche Bücher, zuletzt bei Tyrolia: „Anstoß in Rom. So war das mit dem Konzil“, 2. Auflage 2012.</w:t>
      </w:r>
    </w:p>
    <w:p w:rsidR="000877B7" w:rsidRDefault="000877B7" w:rsidP="000877B7">
      <w:pPr>
        <w:rPr>
          <w:rFonts w:asciiTheme="minorHAnsi" w:hAnsiTheme="minorHAnsi" w:cstheme="minorHAnsi"/>
          <w:sz w:val="22"/>
          <w:szCs w:val="22"/>
        </w:rPr>
      </w:pPr>
    </w:p>
    <w:sectPr w:rsidR="000877B7">
      <w:headerReference w:type="default" r:id="rId9"/>
      <w:pgSz w:w="11906" w:h="16838"/>
      <w:pgMar w:top="1417" w:right="1700" w:bottom="1418" w:left="1417" w:header="720"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DC7" w:rsidRDefault="007D1DC7">
      <w:r>
        <w:separator/>
      </w:r>
    </w:p>
  </w:endnote>
  <w:endnote w:type="continuationSeparator" w:id="0">
    <w:p w:rsidR="007D1DC7" w:rsidRDefault="007D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DC7" w:rsidRDefault="007D1DC7">
      <w:r>
        <w:separator/>
      </w:r>
    </w:p>
  </w:footnote>
  <w:footnote w:type="continuationSeparator" w:id="0">
    <w:p w:rsidR="007D1DC7" w:rsidRDefault="007D1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BE1" w:rsidRDefault="007D2BE1">
    <w:pPr>
      <w:pStyle w:val="berschrift3"/>
      <w:jc w:val="left"/>
    </w:pPr>
  </w:p>
  <w:p w:rsidR="007D2BE1" w:rsidRDefault="007D2BE1">
    <w:pPr>
      <w:pStyle w:val="berschrift3"/>
      <w:jc w:val="left"/>
    </w:pPr>
  </w:p>
  <w:p w:rsidR="007D2BE1" w:rsidRPr="00400EA7" w:rsidRDefault="007D2BE1">
    <w:pPr>
      <w:pStyle w:val="berschrift3"/>
      <w:jc w:val="left"/>
      <w:rPr>
        <w:rFonts w:asciiTheme="minorHAnsi" w:hAnsiTheme="minorHAnsi" w:cstheme="minorHAnsi"/>
      </w:rPr>
    </w:pPr>
    <w:r w:rsidRPr="00400EA7">
      <w:rPr>
        <w:rFonts w:asciiTheme="minorHAnsi" w:hAnsiTheme="minorHAnsi" w:cstheme="minorHAnsi"/>
      </w:rPr>
      <w:t xml:space="preserve">Tyrolia-Verlag </w:t>
    </w:r>
    <w:r w:rsidRPr="00400EA7">
      <w:rPr>
        <w:rFonts w:asciiTheme="minorHAnsi" w:hAnsiTheme="minorHAnsi" w:cstheme="minorHAnsi"/>
        <w:sz w:val="24"/>
      </w:rPr>
      <w:t>·  Innsbruck-Wien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B7"/>
    <w:rsid w:val="000877B7"/>
    <w:rsid w:val="00152CAF"/>
    <w:rsid w:val="00177F87"/>
    <w:rsid w:val="002F52EC"/>
    <w:rsid w:val="00352B35"/>
    <w:rsid w:val="00411542"/>
    <w:rsid w:val="005F64FA"/>
    <w:rsid w:val="007D1DC7"/>
    <w:rsid w:val="007D2BE1"/>
    <w:rsid w:val="0095303B"/>
    <w:rsid w:val="00BE579F"/>
    <w:rsid w:val="00C60E22"/>
    <w:rsid w:val="00C77C7A"/>
    <w:rsid w:val="00DA38E4"/>
    <w:rsid w:val="00E716B4"/>
    <w:rsid w:val="00E7635D"/>
    <w:rsid w:val="00E94138"/>
    <w:rsid w:val="00EB52A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877B7"/>
    <w:pPr>
      <w:spacing w:after="0" w:line="240" w:lineRule="auto"/>
    </w:pPr>
    <w:rPr>
      <w:rFonts w:ascii="Times New Roman" w:eastAsia="Times New Roman" w:hAnsi="Times New Roman" w:cs="Times New Roman"/>
      <w:sz w:val="24"/>
      <w:szCs w:val="24"/>
      <w:lang w:val="de-DE" w:eastAsia="de-DE"/>
    </w:rPr>
  </w:style>
  <w:style w:type="paragraph" w:styleId="berschrift2">
    <w:name w:val="heading 2"/>
    <w:basedOn w:val="Standard"/>
    <w:next w:val="Standard"/>
    <w:link w:val="berschrift2Zchn"/>
    <w:qFormat/>
    <w:rsid w:val="000877B7"/>
    <w:pPr>
      <w:keepNext/>
      <w:outlineLvl w:val="1"/>
    </w:pPr>
    <w:rPr>
      <w:szCs w:val="20"/>
    </w:rPr>
  </w:style>
  <w:style w:type="paragraph" w:styleId="berschrift3">
    <w:name w:val="heading 3"/>
    <w:basedOn w:val="Standard"/>
    <w:next w:val="Standard"/>
    <w:link w:val="berschrift3Zchn"/>
    <w:qFormat/>
    <w:rsid w:val="000877B7"/>
    <w:pPr>
      <w:keepNext/>
      <w:pBdr>
        <w:bottom w:val="single" w:sz="4" w:space="1" w:color="auto"/>
      </w:pBdr>
      <w:jc w:val="right"/>
      <w:outlineLvl w:val="2"/>
    </w:pPr>
    <w:rPr>
      <w:rFonts w:ascii="Century Gothic" w:hAnsi="Century Gothic"/>
      <w:sz w:val="3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877B7"/>
    <w:rPr>
      <w:rFonts w:ascii="Times New Roman" w:eastAsia="Times New Roman" w:hAnsi="Times New Roman" w:cs="Times New Roman"/>
      <w:sz w:val="24"/>
      <w:szCs w:val="20"/>
      <w:lang w:val="de-DE" w:eastAsia="de-DE"/>
    </w:rPr>
  </w:style>
  <w:style w:type="character" w:customStyle="1" w:styleId="berschrift3Zchn">
    <w:name w:val="Überschrift 3 Zchn"/>
    <w:basedOn w:val="Absatz-Standardschriftart"/>
    <w:link w:val="berschrift3"/>
    <w:rsid w:val="000877B7"/>
    <w:rPr>
      <w:rFonts w:ascii="Century Gothic" w:eastAsia="Times New Roman" w:hAnsi="Century Gothic" w:cs="Times New Roman"/>
      <w:sz w:val="36"/>
      <w:szCs w:val="20"/>
      <w:lang w:val="de-DE" w:eastAsia="de-DE"/>
    </w:rPr>
  </w:style>
  <w:style w:type="paragraph" w:styleId="Kopfzeile">
    <w:name w:val="header"/>
    <w:basedOn w:val="Standard"/>
    <w:link w:val="KopfzeileZchn"/>
    <w:semiHidden/>
    <w:rsid w:val="000877B7"/>
    <w:pPr>
      <w:tabs>
        <w:tab w:val="center" w:pos="4536"/>
        <w:tab w:val="right" w:pos="9072"/>
      </w:tabs>
    </w:pPr>
    <w:rPr>
      <w:szCs w:val="20"/>
    </w:rPr>
  </w:style>
  <w:style w:type="character" w:customStyle="1" w:styleId="KopfzeileZchn">
    <w:name w:val="Kopfzeile Zchn"/>
    <w:basedOn w:val="Absatz-Standardschriftart"/>
    <w:link w:val="Kopfzeile"/>
    <w:semiHidden/>
    <w:rsid w:val="000877B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0877B7"/>
    <w:pPr>
      <w:tabs>
        <w:tab w:val="center" w:pos="4536"/>
        <w:tab w:val="right" w:pos="9072"/>
      </w:tabs>
    </w:pPr>
    <w:rPr>
      <w:szCs w:val="20"/>
    </w:rPr>
  </w:style>
  <w:style w:type="character" w:customStyle="1" w:styleId="FuzeileZchn">
    <w:name w:val="Fußzeile Zchn"/>
    <w:basedOn w:val="Absatz-Standardschriftart"/>
    <w:link w:val="Fuzeile"/>
    <w:semiHidden/>
    <w:rsid w:val="000877B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0877B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77B7"/>
    <w:rPr>
      <w:rFonts w:ascii="Tahoma" w:eastAsia="Times New Roman"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877B7"/>
    <w:pPr>
      <w:spacing w:after="0" w:line="240" w:lineRule="auto"/>
    </w:pPr>
    <w:rPr>
      <w:rFonts w:ascii="Times New Roman" w:eastAsia="Times New Roman" w:hAnsi="Times New Roman" w:cs="Times New Roman"/>
      <w:sz w:val="24"/>
      <w:szCs w:val="24"/>
      <w:lang w:val="de-DE" w:eastAsia="de-DE"/>
    </w:rPr>
  </w:style>
  <w:style w:type="paragraph" w:styleId="berschrift2">
    <w:name w:val="heading 2"/>
    <w:basedOn w:val="Standard"/>
    <w:next w:val="Standard"/>
    <w:link w:val="berschrift2Zchn"/>
    <w:qFormat/>
    <w:rsid w:val="000877B7"/>
    <w:pPr>
      <w:keepNext/>
      <w:outlineLvl w:val="1"/>
    </w:pPr>
    <w:rPr>
      <w:szCs w:val="20"/>
    </w:rPr>
  </w:style>
  <w:style w:type="paragraph" w:styleId="berschrift3">
    <w:name w:val="heading 3"/>
    <w:basedOn w:val="Standard"/>
    <w:next w:val="Standard"/>
    <w:link w:val="berschrift3Zchn"/>
    <w:qFormat/>
    <w:rsid w:val="000877B7"/>
    <w:pPr>
      <w:keepNext/>
      <w:pBdr>
        <w:bottom w:val="single" w:sz="4" w:space="1" w:color="auto"/>
      </w:pBdr>
      <w:jc w:val="right"/>
      <w:outlineLvl w:val="2"/>
    </w:pPr>
    <w:rPr>
      <w:rFonts w:ascii="Century Gothic" w:hAnsi="Century Gothic"/>
      <w:sz w:val="3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877B7"/>
    <w:rPr>
      <w:rFonts w:ascii="Times New Roman" w:eastAsia="Times New Roman" w:hAnsi="Times New Roman" w:cs="Times New Roman"/>
      <w:sz w:val="24"/>
      <w:szCs w:val="20"/>
      <w:lang w:val="de-DE" w:eastAsia="de-DE"/>
    </w:rPr>
  </w:style>
  <w:style w:type="character" w:customStyle="1" w:styleId="berschrift3Zchn">
    <w:name w:val="Überschrift 3 Zchn"/>
    <w:basedOn w:val="Absatz-Standardschriftart"/>
    <w:link w:val="berschrift3"/>
    <w:rsid w:val="000877B7"/>
    <w:rPr>
      <w:rFonts w:ascii="Century Gothic" w:eastAsia="Times New Roman" w:hAnsi="Century Gothic" w:cs="Times New Roman"/>
      <w:sz w:val="36"/>
      <w:szCs w:val="20"/>
      <w:lang w:val="de-DE" w:eastAsia="de-DE"/>
    </w:rPr>
  </w:style>
  <w:style w:type="paragraph" w:styleId="Kopfzeile">
    <w:name w:val="header"/>
    <w:basedOn w:val="Standard"/>
    <w:link w:val="KopfzeileZchn"/>
    <w:semiHidden/>
    <w:rsid w:val="000877B7"/>
    <w:pPr>
      <w:tabs>
        <w:tab w:val="center" w:pos="4536"/>
        <w:tab w:val="right" w:pos="9072"/>
      </w:tabs>
    </w:pPr>
    <w:rPr>
      <w:szCs w:val="20"/>
    </w:rPr>
  </w:style>
  <w:style w:type="character" w:customStyle="1" w:styleId="KopfzeileZchn">
    <w:name w:val="Kopfzeile Zchn"/>
    <w:basedOn w:val="Absatz-Standardschriftart"/>
    <w:link w:val="Kopfzeile"/>
    <w:semiHidden/>
    <w:rsid w:val="000877B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0877B7"/>
    <w:pPr>
      <w:tabs>
        <w:tab w:val="center" w:pos="4536"/>
        <w:tab w:val="right" w:pos="9072"/>
      </w:tabs>
    </w:pPr>
    <w:rPr>
      <w:szCs w:val="20"/>
    </w:rPr>
  </w:style>
  <w:style w:type="character" w:customStyle="1" w:styleId="FuzeileZchn">
    <w:name w:val="Fußzeile Zchn"/>
    <w:basedOn w:val="Absatz-Standardschriftart"/>
    <w:link w:val="Fuzeile"/>
    <w:semiHidden/>
    <w:rsid w:val="000877B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0877B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77B7"/>
    <w:rPr>
      <w:rFonts w:ascii="Tahoma" w:eastAsia="Times New Roman"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1790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Resler Monika</cp:lastModifiedBy>
  <cp:revision>3</cp:revision>
  <dcterms:created xsi:type="dcterms:W3CDTF">2014-10-20T10:06:00Z</dcterms:created>
  <dcterms:modified xsi:type="dcterms:W3CDTF">2014-10-20T10:06:00Z</dcterms:modified>
</cp:coreProperties>
</file>