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6A9" w:rsidRPr="00100014" w:rsidRDefault="000E6789"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noProof/>
        </w:rPr>
        <w:drawing>
          <wp:anchor distT="0" distB="0" distL="114300" distR="114300" simplePos="0" relativeHeight="251658240" behindDoc="0" locked="0" layoutInCell="1" allowOverlap="1" wp14:anchorId="0E0C8E47" wp14:editId="12BAE0FC">
            <wp:simplePos x="0" y="0"/>
            <wp:positionH relativeFrom="column">
              <wp:posOffset>4081780</wp:posOffset>
            </wp:positionH>
            <wp:positionV relativeFrom="paragraph">
              <wp:posOffset>55880</wp:posOffset>
            </wp:positionV>
            <wp:extent cx="1504891" cy="2461681"/>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0-9_Abbe Pier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7" cy="2461789"/>
                    </a:xfrm>
                    <a:prstGeom prst="rect">
                      <a:avLst/>
                    </a:prstGeom>
                  </pic:spPr>
                </pic:pic>
              </a:graphicData>
            </a:graphic>
            <wp14:sizeRelH relativeFrom="page">
              <wp14:pctWidth>0</wp14:pctWidth>
            </wp14:sizeRelH>
            <wp14:sizeRelV relativeFrom="page">
              <wp14:pctHeight>0</wp14:pctHeight>
            </wp14:sizeRelV>
          </wp:anchor>
        </w:drawing>
      </w:r>
    </w:p>
    <w:p w:rsidR="009A5D43" w:rsidRPr="00F52D61" w:rsidRDefault="009A5D43" w:rsidP="009A5D43">
      <w:pPr>
        <w:pStyle w:val="Kopfzeile"/>
        <w:tabs>
          <w:tab w:val="clear" w:pos="4536"/>
          <w:tab w:val="clear" w:pos="9072"/>
          <w:tab w:val="left" w:pos="2835"/>
          <w:tab w:val="left" w:pos="7797"/>
        </w:tabs>
        <w:rPr>
          <w:rFonts w:ascii="Calibri" w:hAnsi="Calibri" w:cs="Calibri"/>
          <w:iCs/>
          <w:lang w:val="de-AT"/>
        </w:rPr>
      </w:pPr>
      <w:r w:rsidRPr="00F52D61">
        <w:rPr>
          <w:rFonts w:ascii="Calibri" w:hAnsi="Calibri" w:cs="Calibri"/>
          <w:iCs/>
          <w:lang w:val="de-AT"/>
        </w:rPr>
        <w:t>Abbé Pierre</w:t>
      </w:r>
    </w:p>
    <w:p w:rsidR="009A5D43" w:rsidRPr="00F52D61" w:rsidRDefault="009A5D43" w:rsidP="009A5D43">
      <w:pPr>
        <w:pStyle w:val="Kopfzeile"/>
        <w:tabs>
          <w:tab w:val="clear" w:pos="4536"/>
          <w:tab w:val="clear" w:pos="9072"/>
          <w:tab w:val="left" w:pos="2835"/>
          <w:tab w:val="left" w:pos="7797"/>
        </w:tabs>
        <w:rPr>
          <w:rFonts w:ascii="Calibri" w:hAnsi="Calibri" w:cs="Calibri"/>
          <w:b/>
          <w:bCs/>
          <w:sz w:val="28"/>
          <w:lang w:val="de-AT"/>
        </w:rPr>
      </w:pPr>
      <w:r w:rsidRPr="00F52D61">
        <w:rPr>
          <w:rFonts w:ascii="Calibri" w:hAnsi="Calibri" w:cs="Calibri"/>
          <w:b/>
          <w:bCs/>
          <w:sz w:val="28"/>
          <w:lang w:val="de-AT"/>
        </w:rPr>
        <w:t xml:space="preserve">Was ist </w:t>
      </w:r>
      <w:r>
        <w:rPr>
          <w:rFonts w:ascii="Calibri" w:hAnsi="Calibri" w:cs="Calibri"/>
          <w:b/>
          <w:bCs/>
          <w:sz w:val="28"/>
          <w:lang w:val="de-AT"/>
        </w:rPr>
        <w:t xml:space="preserve">das, </w:t>
      </w:r>
      <w:r w:rsidRPr="00F52D61">
        <w:rPr>
          <w:rFonts w:ascii="Calibri" w:hAnsi="Calibri" w:cs="Calibri"/>
          <w:b/>
          <w:bCs/>
          <w:sz w:val="28"/>
          <w:lang w:val="de-AT"/>
        </w:rPr>
        <w:t>der Tod?</w:t>
      </w:r>
    </w:p>
    <w:p w:rsidR="009A5D43" w:rsidRDefault="009A5D43" w:rsidP="009A5D43">
      <w:pPr>
        <w:pStyle w:val="Kopfzeile"/>
        <w:tabs>
          <w:tab w:val="clear" w:pos="4536"/>
          <w:tab w:val="clear" w:pos="9072"/>
          <w:tab w:val="left" w:pos="2835"/>
          <w:tab w:val="left" w:pos="7797"/>
        </w:tabs>
        <w:rPr>
          <w:rFonts w:ascii="Calibri" w:hAnsi="Calibri" w:cs="Calibri"/>
          <w:lang w:val="de-AT"/>
        </w:rPr>
      </w:pPr>
      <w:r w:rsidRPr="004577FE">
        <w:rPr>
          <w:rFonts w:ascii="Calibri" w:hAnsi="Calibri" w:cs="Calibri"/>
          <w:lang w:val="de-AT"/>
        </w:rPr>
        <w:t>Ein Gespräch über den Sinn des Lebens</w:t>
      </w:r>
    </w:p>
    <w:p w:rsidR="009A5D43" w:rsidRPr="004577FE" w:rsidRDefault="009A5D43" w:rsidP="009A5D43">
      <w:pPr>
        <w:pStyle w:val="Kopfzeile"/>
        <w:tabs>
          <w:tab w:val="clear" w:pos="4536"/>
          <w:tab w:val="clear" w:pos="9072"/>
          <w:tab w:val="left" w:pos="2835"/>
          <w:tab w:val="left" w:pos="7797"/>
        </w:tabs>
        <w:rPr>
          <w:rFonts w:ascii="Calibri" w:hAnsi="Calibri" w:cs="Calibri"/>
          <w:lang w:val="de-AT"/>
        </w:rPr>
      </w:pPr>
      <w:r>
        <w:rPr>
          <w:rFonts w:ascii="Calibri" w:hAnsi="Calibri" w:cs="Calibri"/>
          <w:lang w:val="de-AT"/>
        </w:rPr>
        <w:t>Aus dem Französischen von Bruno Kern</w:t>
      </w:r>
    </w:p>
    <w:p w:rsidR="009A5D43" w:rsidRPr="00D36D43" w:rsidRDefault="009A5D43" w:rsidP="009A5D43">
      <w:pPr>
        <w:pStyle w:val="Kopfzeile"/>
        <w:tabs>
          <w:tab w:val="clear" w:pos="4536"/>
          <w:tab w:val="clear" w:pos="9072"/>
          <w:tab w:val="left" w:pos="2835"/>
          <w:tab w:val="left" w:pos="7797"/>
        </w:tabs>
        <w:rPr>
          <w:rFonts w:ascii="Calibri" w:hAnsi="Calibri" w:cs="Calibri"/>
          <w:i/>
          <w:lang w:val="de-AT"/>
        </w:rPr>
      </w:pPr>
      <w:r>
        <w:rPr>
          <w:rFonts w:ascii="Calibri" w:hAnsi="Calibri" w:cs="Calibri"/>
          <w:i/>
          <w:lang w:val="de-AT"/>
        </w:rPr>
        <w:t>c</w:t>
      </w:r>
      <w:r w:rsidRPr="00D36D43">
        <w:rPr>
          <w:rFonts w:ascii="Calibri" w:hAnsi="Calibri" w:cs="Calibri"/>
          <w:i/>
          <w:lang w:val="de-AT"/>
        </w:rPr>
        <w:t xml:space="preserve">a. </w:t>
      </w:r>
      <w:r>
        <w:rPr>
          <w:rFonts w:ascii="Calibri" w:hAnsi="Calibri" w:cs="Calibri"/>
          <w:i/>
          <w:lang w:val="de-AT"/>
        </w:rPr>
        <w:t>80 Seiten, 11 x 18 cm, gebunden</w:t>
      </w:r>
    </w:p>
    <w:p w:rsidR="009A5D43" w:rsidRPr="00D36D43" w:rsidRDefault="009A5D43" w:rsidP="009A5D43">
      <w:pPr>
        <w:pStyle w:val="Kopfzeile"/>
        <w:tabs>
          <w:tab w:val="clear" w:pos="4536"/>
          <w:tab w:val="left" w:pos="2835"/>
          <w:tab w:val="left" w:pos="7797"/>
        </w:tabs>
        <w:rPr>
          <w:rFonts w:ascii="Calibri" w:hAnsi="Calibri" w:cs="Calibri"/>
          <w:lang w:val="de-AT"/>
        </w:rPr>
      </w:pPr>
      <w:r>
        <w:rPr>
          <w:rFonts w:ascii="Calibri" w:hAnsi="Calibri" w:cs="Calibri"/>
          <w:i/>
        </w:rPr>
        <w:t>ISBN 978-3-7022-3200-9</w:t>
      </w:r>
    </w:p>
    <w:p w:rsidR="009A5D43" w:rsidRPr="00D36D43" w:rsidRDefault="009A5D43" w:rsidP="009A5D43">
      <w:pPr>
        <w:pStyle w:val="Kopfzeile"/>
        <w:tabs>
          <w:tab w:val="clear" w:pos="4536"/>
          <w:tab w:val="clear" w:pos="9072"/>
          <w:tab w:val="left" w:pos="2835"/>
          <w:tab w:val="left" w:pos="7797"/>
        </w:tabs>
        <w:rPr>
          <w:rFonts w:ascii="Calibri" w:hAnsi="Calibri" w:cs="Calibri"/>
          <w:i/>
          <w:iCs/>
          <w:lang w:val="de-AT"/>
        </w:rPr>
      </w:pPr>
      <w:r w:rsidRPr="00D36D43">
        <w:rPr>
          <w:rFonts w:ascii="Calibri" w:hAnsi="Calibri" w:cs="Calibri"/>
          <w:i/>
          <w:iCs/>
          <w:lang w:val="de-AT"/>
        </w:rPr>
        <w:t xml:space="preserve">€ 12,95 </w:t>
      </w:r>
      <w:bookmarkStart w:id="0" w:name="_GoBack"/>
      <w:bookmarkEnd w:id="0"/>
    </w:p>
    <w:p w:rsidR="00F14C9A" w:rsidRDefault="00F14C9A" w:rsidP="009856A9">
      <w:pPr>
        <w:pStyle w:val="Kopfzeile"/>
        <w:tabs>
          <w:tab w:val="clear" w:pos="4536"/>
          <w:tab w:val="clear" w:pos="9072"/>
        </w:tabs>
        <w:rPr>
          <w:rFonts w:asciiTheme="minorHAnsi" w:hAnsiTheme="minorHAnsi" w:cstheme="minorHAnsi"/>
          <w:szCs w:val="24"/>
          <w:lang w:val="de-AT"/>
        </w:rPr>
      </w:pPr>
    </w:p>
    <w:p w:rsidR="00BD2B4E" w:rsidRPr="001E7EEB" w:rsidRDefault="00BD2B4E" w:rsidP="009856A9">
      <w:pPr>
        <w:pStyle w:val="Kopfzeile"/>
        <w:tabs>
          <w:tab w:val="clear" w:pos="4536"/>
          <w:tab w:val="clear" w:pos="9072"/>
        </w:tabs>
        <w:rPr>
          <w:rFonts w:asciiTheme="minorHAnsi" w:hAnsiTheme="minorHAnsi" w:cstheme="minorHAnsi"/>
          <w:szCs w:val="24"/>
          <w:lang w:val="de-AT"/>
        </w:rPr>
      </w:pPr>
    </w:p>
    <w:p w:rsidR="009856A9" w:rsidRPr="000E6789" w:rsidRDefault="00BD2B4E" w:rsidP="009856A9">
      <w:pPr>
        <w:ind w:right="709"/>
        <w:jc w:val="both"/>
        <w:rPr>
          <w:rFonts w:asciiTheme="minorHAnsi" w:hAnsiTheme="minorHAnsi" w:cstheme="minorHAnsi"/>
          <w:b/>
          <w:sz w:val="32"/>
          <w:szCs w:val="32"/>
        </w:rPr>
      </w:pPr>
      <w:r w:rsidRPr="000E6789">
        <w:rPr>
          <w:rFonts w:asciiTheme="minorHAnsi" w:hAnsiTheme="minorHAnsi" w:cstheme="minorHAnsi"/>
          <w:b/>
          <w:sz w:val="32"/>
          <w:szCs w:val="32"/>
        </w:rPr>
        <w:t>Wofür es sich zu leben lohnt</w:t>
      </w:r>
    </w:p>
    <w:p w:rsidR="000E6789" w:rsidRPr="001E7EEB" w:rsidRDefault="000E6789" w:rsidP="009856A9">
      <w:pPr>
        <w:ind w:right="709"/>
        <w:jc w:val="both"/>
        <w:rPr>
          <w:rFonts w:asciiTheme="minorHAnsi" w:hAnsiTheme="minorHAnsi" w:cstheme="minorHAnsi"/>
          <w:b/>
        </w:rPr>
      </w:pPr>
      <w:r>
        <w:rPr>
          <w:rFonts w:asciiTheme="minorHAnsi" w:hAnsiTheme="minorHAnsi" w:cstheme="minorHAnsi"/>
          <w:b/>
        </w:rPr>
        <w:t>Das bewegende Vermächtnis des „Vaters der Armen“</w:t>
      </w:r>
    </w:p>
    <w:p w:rsidR="009856A9" w:rsidRPr="001E7EEB" w:rsidRDefault="009856A9" w:rsidP="009856A9">
      <w:pPr>
        <w:ind w:right="1417"/>
        <w:jc w:val="both"/>
        <w:rPr>
          <w:rFonts w:asciiTheme="minorHAnsi" w:hAnsiTheme="minorHAnsi" w:cstheme="minorHAnsi"/>
          <w:b/>
        </w:rPr>
      </w:pPr>
    </w:p>
    <w:p w:rsidR="00BB0AC6" w:rsidRPr="001E7EEB" w:rsidRDefault="009A5D43" w:rsidP="00752F15">
      <w:pPr>
        <w:rPr>
          <w:rFonts w:asciiTheme="minorHAnsi" w:hAnsiTheme="minorHAnsi" w:cstheme="minorHAnsi"/>
          <w:lang w:val="de-AT"/>
        </w:rPr>
      </w:pPr>
      <w:r w:rsidRPr="001E7EEB">
        <w:rPr>
          <w:rFonts w:asciiTheme="minorHAnsi" w:hAnsiTheme="minorHAnsi" w:cstheme="minorHAnsi"/>
        </w:rPr>
        <w:t>Zum 100</w:t>
      </w:r>
      <w:r w:rsidR="00BC7F98" w:rsidRPr="001E7EEB">
        <w:rPr>
          <w:rFonts w:asciiTheme="minorHAnsi" w:hAnsiTheme="minorHAnsi" w:cstheme="minorHAnsi"/>
        </w:rPr>
        <w:t xml:space="preserve">. Geburtstag von Abbé Pierre </w:t>
      </w:r>
      <w:r w:rsidR="000E6789">
        <w:rPr>
          <w:rFonts w:asciiTheme="minorHAnsi" w:hAnsiTheme="minorHAnsi" w:cstheme="minorHAnsi"/>
        </w:rPr>
        <w:t xml:space="preserve">am 5. August 2012 </w:t>
      </w:r>
      <w:r w:rsidR="00BC7F98" w:rsidRPr="001E7EEB">
        <w:rPr>
          <w:rFonts w:asciiTheme="minorHAnsi" w:hAnsiTheme="minorHAnsi" w:cstheme="minorHAnsi"/>
        </w:rPr>
        <w:t xml:space="preserve">wird durch diese Übersetzung erstmals einer seiner schönsten Texte auf Deutsch zugänglich. Als 87-jähriger hatte </w:t>
      </w:r>
      <w:r w:rsidR="00A119D0" w:rsidRPr="001E7EEB">
        <w:rPr>
          <w:rFonts w:asciiTheme="minorHAnsi" w:hAnsiTheme="minorHAnsi" w:cstheme="minorHAnsi"/>
        </w:rPr>
        <w:t xml:space="preserve">der „Vater der Armen“ </w:t>
      </w:r>
      <w:r w:rsidR="00BC7F98" w:rsidRPr="001E7EEB">
        <w:rPr>
          <w:rFonts w:asciiTheme="minorHAnsi" w:hAnsiTheme="minorHAnsi" w:cstheme="minorHAnsi"/>
        </w:rPr>
        <w:t xml:space="preserve">mit jungen Leuten </w:t>
      </w:r>
      <w:r w:rsidR="00A119D0" w:rsidRPr="001E7EEB">
        <w:rPr>
          <w:rFonts w:asciiTheme="minorHAnsi" w:hAnsiTheme="minorHAnsi" w:cstheme="minorHAnsi"/>
        </w:rPr>
        <w:t xml:space="preserve">über den Tod gesprochen: über Suizid und Todesstrafe, über die Angst vor dem Sterben, </w:t>
      </w:r>
      <w:r w:rsidR="001E7EEB">
        <w:rPr>
          <w:rFonts w:asciiTheme="minorHAnsi" w:hAnsiTheme="minorHAnsi" w:cstheme="minorHAnsi"/>
        </w:rPr>
        <w:t xml:space="preserve">über </w:t>
      </w:r>
      <w:r w:rsidR="00A119D0" w:rsidRPr="001E7EEB">
        <w:rPr>
          <w:rFonts w:asciiTheme="minorHAnsi" w:hAnsiTheme="minorHAnsi" w:cstheme="minorHAnsi"/>
        </w:rPr>
        <w:t xml:space="preserve">die Trauer und </w:t>
      </w:r>
      <w:r w:rsidR="001E7EEB">
        <w:rPr>
          <w:rFonts w:asciiTheme="minorHAnsi" w:hAnsiTheme="minorHAnsi" w:cstheme="minorHAnsi"/>
        </w:rPr>
        <w:t xml:space="preserve">über </w:t>
      </w:r>
      <w:r w:rsidR="00A119D0" w:rsidRPr="001E7EEB">
        <w:rPr>
          <w:rFonts w:asciiTheme="minorHAnsi" w:hAnsiTheme="minorHAnsi" w:cstheme="minorHAnsi"/>
        </w:rPr>
        <w:t xml:space="preserve">die Hoffnung auf ein Leben danach. In ebenso einfachen wie tiefen Worten und </w:t>
      </w:r>
      <w:r w:rsidR="001E7EEB">
        <w:rPr>
          <w:rFonts w:asciiTheme="minorHAnsi" w:hAnsiTheme="minorHAnsi" w:cstheme="minorHAnsi"/>
        </w:rPr>
        <w:t xml:space="preserve">mit vielen </w:t>
      </w:r>
      <w:r w:rsidR="00A119D0" w:rsidRPr="001E7EEB">
        <w:rPr>
          <w:rFonts w:asciiTheme="minorHAnsi" w:hAnsiTheme="minorHAnsi" w:cstheme="minorHAnsi"/>
        </w:rPr>
        <w:t xml:space="preserve">Beispielen aus seinem </w:t>
      </w:r>
      <w:r w:rsidR="001E7EEB">
        <w:rPr>
          <w:rFonts w:asciiTheme="minorHAnsi" w:hAnsiTheme="minorHAnsi" w:cstheme="minorHAnsi"/>
        </w:rPr>
        <w:t>bewegten</w:t>
      </w:r>
      <w:r w:rsidR="00A119D0" w:rsidRPr="001E7EEB">
        <w:rPr>
          <w:rFonts w:asciiTheme="minorHAnsi" w:hAnsiTheme="minorHAnsi" w:cstheme="minorHAnsi"/>
        </w:rPr>
        <w:t xml:space="preserve"> Leben lenkt Abbé Pierre dabei die Aufmerksamkeit auf die </w:t>
      </w:r>
      <w:r w:rsidR="00BC7F98" w:rsidRPr="001E7EEB">
        <w:rPr>
          <w:rFonts w:asciiTheme="minorHAnsi" w:hAnsiTheme="minorHAnsi" w:cstheme="minorHAnsi"/>
        </w:rPr>
        <w:t xml:space="preserve">entscheidenden Fragen des Lebens: Wozu leben wir? </w:t>
      </w:r>
      <w:r w:rsidR="00A119D0" w:rsidRPr="001E7EEB">
        <w:rPr>
          <w:rFonts w:asciiTheme="minorHAnsi" w:hAnsiTheme="minorHAnsi" w:cstheme="minorHAnsi"/>
        </w:rPr>
        <w:t xml:space="preserve">Was gibt Sinn? </w:t>
      </w:r>
      <w:r w:rsidR="00BC7F98" w:rsidRPr="001E7EEB">
        <w:rPr>
          <w:rFonts w:asciiTheme="minorHAnsi" w:hAnsiTheme="minorHAnsi" w:cstheme="minorHAnsi"/>
        </w:rPr>
        <w:t xml:space="preserve">Wofür lohnt es sich zu leben? </w:t>
      </w:r>
      <w:r w:rsidR="00A119D0" w:rsidRPr="001E7EEB">
        <w:rPr>
          <w:rFonts w:asciiTheme="minorHAnsi" w:hAnsiTheme="minorHAnsi" w:cstheme="minorHAnsi"/>
        </w:rPr>
        <w:t>Ja was heißt eigentlich „leben“?</w:t>
      </w:r>
    </w:p>
    <w:p w:rsidR="009856A9" w:rsidRPr="001E7EEB" w:rsidRDefault="009856A9" w:rsidP="009856A9">
      <w:pPr>
        <w:rPr>
          <w:rFonts w:asciiTheme="minorHAnsi" w:hAnsiTheme="minorHAnsi" w:cstheme="minorHAnsi"/>
        </w:rPr>
      </w:pPr>
    </w:p>
    <w:p w:rsidR="00167F5C" w:rsidRPr="001E7EEB" w:rsidRDefault="00167F5C" w:rsidP="009856A9">
      <w:pPr>
        <w:rPr>
          <w:rFonts w:asciiTheme="minorHAnsi" w:hAnsiTheme="minorHAnsi" w:cstheme="minorHAnsi"/>
          <w:i/>
        </w:rPr>
      </w:pPr>
      <w:r w:rsidRPr="001E7EEB">
        <w:rPr>
          <w:rFonts w:asciiTheme="minorHAnsi" w:hAnsiTheme="minorHAnsi" w:cstheme="minorHAnsi"/>
          <w:i/>
        </w:rPr>
        <w:t>Der Autor:</w:t>
      </w:r>
    </w:p>
    <w:p w:rsidR="00167F5C" w:rsidRPr="001E7EEB" w:rsidRDefault="009A5D43" w:rsidP="009856A9">
      <w:pPr>
        <w:rPr>
          <w:rFonts w:asciiTheme="minorHAnsi" w:hAnsiTheme="minorHAnsi" w:cstheme="minorHAnsi"/>
        </w:rPr>
      </w:pPr>
      <w:r w:rsidRPr="001E7EEB">
        <w:rPr>
          <w:rFonts w:asciiTheme="minorHAnsi" w:hAnsiTheme="minorHAnsi" w:cstheme="minorHAnsi"/>
          <w:smallCaps/>
        </w:rPr>
        <w:t>Abbé Pierre</w:t>
      </w:r>
      <w:r w:rsidR="00B36F8C" w:rsidRPr="001E7EEB">
        <w:rPr>
          <w:rFonts w:asciiTheme="minorHAnsi" w:hAnsiTheme="minorHAnsi" w:cstheme="minorHAnsi"/>
        </w:rPr>
        <w:t xml:space="preserve"> kam am </w:t>
      </w:r>
      <w:r w:rsidR="001E7EEB">
        <w:rPr>
          <w:rFonts w:asciiTheme="minorHAnsi" w:hAnsiTheme="minorHAnsi" w:cstheme="minorHAnsi"/>
        </w:rPr>
        <w:t>5. August 1912 in Lione zur Welt. Gegen den Willen seiner wohlhabenden Eltern trat er mit 19 Jahren dem Kapuzinerorden bei und wurde 1938 zum Priester geweiht. Als Mitglied der Résistance setzte er sich im Zweiten Weltkrieg für jüdische Flüchtlinge ein; von 1945 bis 1951 war er Abgeordneter zum französischen Parlament, wo er wesentlichen Anteil am Gesetz über den Zivildienst hatte und sich für den sozialen Wohnbau einsetzte. 1949 gründete er die Emmaus-Bewegung für die Unterstützung von armen und obdachlosen Menschen, die heute in zahlreichen Ländern aktiv ist. Abbé Pierre führte 30 Jahre lang die Umfragen nach dem beliebtesten Franzosen an, bis er 2005 auf eigenen Wunsch nicht mehr in dieser Rangliste geführt wurde. Mit seinem Tod im Jahre 20</w:t>
      </w:r>
      <w:r w:rsidR="00F14C9A">
        <w:rPr>
          <w:rFonts w:asciiTheme="minorHAnsi" w:hAnsiTheme="minorHAnsi" w:cstheme="minorHAnsi"/>
        </w:rPr>
        <w:t>0</w:t>
      </w:r>
      <w:r w:rsidR="001E7EEB">
        <w:rPr>
          <w:rFonts w:asciiTheme="minorHAnsi" w:hAnsiTheme="minorHAnsi" w:cstheme="minorHAnsi"/>
        </w:rPr>
        <w:t>7 hat Frankreich, so der damalige Präsident Jacques Chirac, „eine im</w:t>
      </w:r>
      <w:r w:rsidR="00F14C9A">
        <w:rPr>
          <w:rFonts w:asciiTheme="minorHAnsi" w:hAnsiTheme="minorHAnsi" w:cstheme="minorHAnsi"/>
        </w:rPr>
        <w:t>m</w:t>
      </w:r>
      <w:r w:rsidR="001E7EEB">
        <w:rPr>
          <w:rFonts w:asciiTheme="minorHAnsi" w:hAnsiTheme="minorHAnsi" w:cstheme="minorHAnsi"/>
        </w:rPr>
        <w:t>ense Persönlichkeit, ein Gewissen, einen Mann, der das Gute verkörperte“ verloren.</w:t>
      </w:r>
    </w:p>
    <w:p w:rsidR="00167F5C" w:rsidRPr="00F14C9A" w:rsidRDefault="00167F5C" w:rsidP="009856A9">
      <w:pPr>
        <w:rPr>
          <w:rFonts w:asciiTheme="minorHAnsi" w:hAnsiTheme="minorHAnsi" w:cstheme="minorHAnsi"/>
          <w:sz w:val="12"/>
          <w:szCs w:val="12"/>
        </w:rPr>
      </w:pPr>
    </w:p>
    <w:p w:rsidR="009856A9" w:rsidRPr="001E7EEB" w:rsidRDefault="009A5D43" w:rsidP="00561A3C">
      <w:pPr>
        <w:rPr>
          <w:rFonts w:asciiTheme="minorHAnsi" w:hAnsiTheme="minorHAnsi" w:cstheme="minorHAnsi"/>
          <w:i/>
        </w:rPr>
      </w:pPr>
      <w:r w:rsidRPr="001E7EEB">
        <w:rPr>
          <w:rFonts w:asciiTheme="minorHAnsi" w:hAnsiTheme="minorHAnsi" w:cstheme="minorHAnsi"/>
          <w:i/>
        </w:rPr>
        <w:t>Der Übersetzer</w:t>
      </w:r>
      <w:r w:rsidR="00167F5C" w:rsidRPr="001E7EEB">
        <w:rPr>
          <w:rFonts w:asciiTheme="minorHAnsi" w:hAnsiTheme="minorHAnsi" w:cstheme="minorHAnsi"/>
          <w:i/>
        </w:rPr>
        <w:t>:</w:t>
      </w:r>
    </w:p>
    <w:p w:rsidR="009A5D43" w:rsidRPr="001E7EEB" w:rsidRDefault="009A5D43" w:rsidP="00167F5C">
      <w:pPr>
        <w:spacing w:line="300" w:lineRule="atLeast"/>
        <w:rPr>
          <w:rFonts w:asciiTheme="minorHAnsi" w:hAnsiTheme="minorHAnsi" w:cstheme="minorHAnsi"/>
        </w:rPr>
      </w:pPr>
      <w:r w:rsidRPr="001E7EEB">
        <w:rPr>
          <w:rFonts w:asciiTheme="minorHAnsi" w:hAnsiTheme="minorHAnsi" w:cstheme="minorHAnsi"/>
          <w:smallCaps/>
        </w:rPr>
        <w:t>Bruno Kern</w:t>
      </w:r>
      <w:r w:rsidR="00167F5C" w:rsidRPr="001E7EEB">
        <w:rPr>
          <w:rFonts w:asciiTheme="minorHAnsi" w:hAnsiTheme="minorHAnsi" w:cstheme="minorHAnsi"/>
        </w:rPr>
        <w:t xml:space="preserve">, </w:t>
      </w:r>
      <w:r w:rsidRPr="001E7EEB">
        <w:rPr>
          <w:rFonts w:asciiTheme="minorHAnsi" w:hAnsiTheme="minorHAnsi" w:cstheme="minorHAnsi"/>
        </w:rPr>
        <w:t xml:space="preserve">Dr. theol., </w:t>
      </w:r>
      <w:r w:rsidR="00167F5C" w:rsidRPr="001E7EEB">
        <w:rPr>
          <w:rFonts w:asciiTheme="minorHAnsi" w:hAnsiTheme="minorHAnsi" w:cstheme="minorHAnsi"/>
        </w:rPr>
        <w:t>geb. 195</w:t>
      </w:r>
      <w:r w:rsidRPr="001E7EEB">
        <w:rPr>
          <w:rFonts w:asciiTheme="minorHAnsi" w:hAnsiTheme="minorHAnsi" w:cstheme="minorHAnsi"/>
        </w:rPr>
        <w:t>8 in Wien, studierte Theologie in Wien und Fribourg (CH) sowie Philosophie in München; er ist freiberuflicher Lektor und Übersetzer, v.</w:t>
      </w:r>
      <w:r w:rsidR="00F14C9A">
        <w:rPr>
          <w:rFonts w:asciiTheme="minorHAnsi" w:hAnsiTheme="minorHAnsi" w:cstheme="minorHAnsi"/>
        </w:rPr>
        <w:t xml:space="preserve"> </w:t>
      </w:r>
      <w:r w:rsidRPr="001E7EEB">
        <w:rPr>
          <w:rFonts w:asciiTheme="minorHAnsi" w:hAnsiTheme="minorHAnsi" w:cstheme="minorHAnsi"/>
        </w:rPr>
        <w:t>a. für Themen der Theologie und Spiritualität.</w:t>
      </w:r>
    </w:p>
    <w:p w:rsidR="009A5D43" w:rsidRPr="00F14C9A" w:rsidRDefault="009A5D43" w:rsidP="00F14C9A">
      <w:pPr>
        <w:rPr>
          <w:rFonts w:asciiTheme="minorHAnsi" w:hAnsiTheme="minorHAnsi" w:cstheme="minorHAnsi"/>
          <w:sz w:val="12"/>
          <w:szCs w:val="12"/>
        </w:rPr>
      </w:pPr>
    </w:p>
    <w:sectPr w:rsidR="009A5D43" w:rsidRPr="00F14C9A">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5B2" w:rsidRDefault="008575B2">
      <w:r>
        <w:separator/>
      </w:r>
    </w:p>
  </w:endnote>
  <w:endnote w:type="continuationSeparator" w:id="0">
    <w:p w:rsidR="008575B2" w:rsidRDefault="0085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5B2" w:rsidRDefault="008575B2">
      <w:r>
        <w:separator/>
      </w:r>
    </w:p>
  </w:footnote>
  <w:footnote w:type="continuationSeparator" w:id="0">
    <w:p w:rsidR="008575B2" w:rsidRDefault="00857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D0" w:rsidRDefault="00A119D0">
    <w:pPr>
      <w:pStyle w:val="berschrift3"/>
      <w:jc w:val="left"/>
    </w:pPr>
  </w:p>
  <w:p w:rsidR="00A119D0" w:rsidRDefault="00A119D0">
    <w:pPr>
      <w:pStyle w:val="berschrift3"/>
      <w:jc w:val="left"/>
    </w:pPr>
  </w:p>
  <w:p w:rsidR="00A119D0" w:rsidRPr="000E6789" w:rsidRDefault="00A119D0">
    <w:pPr>
      <w:pStyle w:val="berschrift3"/>
      <w:jc w:val="left"/>
      <w:rPr>
        <w:rFonts w:asciiTheme="minorHAnsi" w:hAnsiTheme="minorHAnsi" w:cstheme="minorHAnsi"/>
      </w:rPr>
    </w:pPr>
    <w:r w:rsidRPr="000E6789">
      <w:rPr>
        <w:rFonts w:asciiTheme="minorHAnsi" w:hAnsiTheme="minorHAnsi" w:cstheme="minorHAnsi"/>
      </w:rPr>
      <w:t xml:space="preserve">Tyrolia-Verlag </w:t>
    </w:r>
    <w:r w:rsidRPr="000E6789">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5A8613F"/>
    <w:multiLevelType w:val="hybridMultilevel"/>
    <w:tmpl w:val="F9E8CC7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D6523"/>
    <w:rsid w:val="000E6789"/>
    <w:rsid w:val="001341E0"/>
    <w:rsid w:val="00154EAF"/>
    <w:rsid w:val="00167F5C"/>
    <w:rsid w:val="001E7EEB"/>
    <w:rsid w:val="00226AC2"/>
    <w:rsid w:val="00241BD3"/>
    <w:rsid w:val="003D1C70"/>
    <w:rsid w:val="003E6362"/>
    <w:rsid w:val="003F1BB5"/>
    <w:rsid w:val="00491D67"/>
    <w:rsid w:val="004A210D"/>
    <w:rsid w:val="00561A3C"/>
    <w:rsid w:val="006838A6"/>
    <w:rsid w:val="006F4FEA"/>
    <w:rsid w:val="007358DF"/>
    <w:rsid w:val="00752F15"/>
    <w:rsid w:val="007C7B6E"/>
    <w:rsid w:val="007E2743"/>
    <w:rsid w:val="008575B2"/>
    <w:rsid w:val="009856A9"/>
    <w:rsid w:val="009A5D43"/>
    <w:rsid w:val="00A119D0"/>
    <w:rsid w:val="00B36F8C"/>
    <w:rsid w:val="00B751D7"/>
    <w:rsid w:val="00BB0AC6"/>
    <w:rsid w:val="00BC7F98"/>
    <w:rsid w:val="00BD2B4E"/>
    <w:rsid w:val="00CD5878"/>
    <w:rsid w:val="00D75CBF"/>
    <w:rsid w:val="00E46C81"/>
    <w:rsid w:val="00F07B0A"/>
    <w:rsid w:val="00F14C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paragraph" w:styleId="StandardWeb">
    <w:name w:val="Normal (Web)"/>
    <w:basedOn w:val="Standard"/>
    <w:uiPriority w:val="99"/>
    <w:semiHidden/>
    <w:unhideWhenUsed/>
    <w:rsid w:val="00167F5C"/>
    <w:pPr>
      <w:spacing w:before="120" w:after="120" w:line="300" w:lineRule="atLeast"/>
    </w:pPr>
    <w:rPr>
      <w:lang w:val="de-AT" w:eastAsia="de-AT"/>
    </w:rPr>
  </w:style>
  <w:style w:type="character" w:customStyle="1" w:styleId="fliessfett1">
    <w:name w:val="fliess_fett1"/>
    <w:basedOn w:val="Absatz-Standardschriftart"/>
    <w:rsid w:val="00167F5C"/>
    <w:rPr>
      <w:b/>
      <w:bCs/>
    </w:rPr>
  </w:style>
  <w:style w:type="paragraph" w:styleId="KeinLeerraum">
    <w:name w:val="No Spacing"/>
    <w:uiPriority w:val="1"/>
    <w:qFormat/>
    <w:rsid w:val="00E46C81"/>
    <w:pPr>
      <w:spacing w:after="0" w:line="240" w:lineRule="auto"/>
    </w:pPr>
    <w:rPr>
      <w:rFonts w:ascii="Times New Roman" w:eastAsia="Calibri" w:hAnsi="Times New Roman" w:cs="Times New Roman"/>
      <w:sz w:val="24"/>
      <w:lang w:val="de-AT"/>
    </w:rPr>
  </w:style>
  <w:style w:type="paragraph" w:styleId="Listenabsatz">
    <w:name w:val="List Paragraph"/>
    <w:basedOn w:val="Standard"/>
    <w:uiPriority w:val="34"/>
    <w:qFormat/>
    <w:rsid w:val="007C7B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paragraph" w:styleId="StandardWeb">
    <w:name w:val="Normal (Web)"/>
    <w:basedOn w:val="Standard"/>
    <w:uiPriority w:val="99"/>
    <w:semiHidden/>
    <w:unhideWhenUsed/>
    <w:rsid w:val="00167F5C"/>
    <w:pPr>
      <w:spacing w:before="120" w:after="120" w:line="300" w:lineRule="atLeast"/>
    </w:pPr>
    <w:rPr>
      <w:lang w:val="de-AT" w:eastAsia="de-AT"/>
    </w:rPr>
  </w:style>
  <w:style w:type="character" w:customStyle="1" w:styleId="fliessfett1">
    <w:name w:val="fliess_fett1"/>
    <w:basedOn w:val="Absatz-Standardschriftart"/>
    <w:rsid w:val="00167F5C"/>
    <w:rPr>
      <w:b/>
      <w:bCs/>
    </w:rPr>
  </w:style>
  <w:style w:type="paragraph" w:styleId="KeinLeerraum">
    <w:name w:val="No Spacing"/>
    <w:uiPriority w:val="1"/>
    <w:qFormat/>
    <w:rsid w:val="00E46C81"/>
    <w:pPr>
      <w:spacing w:after="0" w:line="240" w:lineRule="auto"/>
    </w:pPr>
    <w:rPr>
      <w:rFonts w:ascii="Times New Roman" w:eastAsia="Calibri" w:hAnsi="Times New Roman" w:cs="Times New Roman"/>
      <w:sz w:val="24"/>
      <w:lang w:val="de-AT"/>
    </w:rPr>
  </w:style>
  <w:style w:type="paragraph" w:styleId="Listenabsatz">
    <w:name w:val="List Paragraph"/>
    <w:basedOn w:val="Standard"/>
    <w:uiPriority w:val="34"/>
    <w:qFormat/>
    <w:rsid w:val="007C7B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1771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Steger Brunhilde</dc:creator>
  <cp:keywords/>
  <dc:description/>
  <cp:lastModifiedBy>Jehly Marlene</cp:lastModifiedBy>
  <cp:revision>9</cp:revision>
  <dcterms:created xsi:type="dcterms:W3CDTF">2012-04-11T12:16:00Z</dcterms:created>
  <dcterms:modified xsi:type="dcterms:W3CDTF">2013-05-14T08:36:00Z</dcterms:modified>
</cp:coreProperties>
</file>