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A9" w:rsidRPr="00100014" w:rsidRDefault="00D40621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iCs/>
          <w:noProof/>
        </w:rPr>
        <w:drawing>
          <wp:anchor distT="0" distB="0" distL="114300" distR="114300" simplePos="0" relativeHeight="251658240" behindDoc="0" locked="0" layoutInCell="1" allowOverlap="1" wp14:anchorId="36C8DB70" wp14:editId="529723E4">
            <wp:simplePos x="0" y="0"/>
            <wp:positionH relativeFrom="column">
              <wp:posOffset>4040485</wp:posOffset>
            </wp:positionH>
            <wp:positionV relativeFrom="paragraph">
              <wp:posOffset>35560</wp:posOffset>
            </wp:positionV>
            <wp:extent cx="1542369" cy="231457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3-4_STS 48 - Vig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62" cy="231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A9" w:rsidRPr="00100014" w:rsidRDefault="009856A9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F560E7" w:rsidRPr="000F3390" w:rsidRDefault="00F560E7" w:rsidP="00F560E7">
      <w:pPr>
        <w:pStyle w:val="Kopfzeile"/>
        <w:tabs>
          <w:tab w:val="clear" w:pos="4536"/>
          <w:tab w:val="clear" w:pos="9072"/>
          <w:tab w:val="left" w:pos="2835"/>
          <w:tab w:val="left" w:pos="7797"/>
        </w:tabs>
        <w:rPr>
          <w:rFonts w:ascii="Calibri" w:hAnsi="Calibri" w:cs="Calibri"/>
          <w:iCs/>
          <w:lang w:val="de-AT"/>
        </w:rPr>
      </w:pPr>
      <w:r w:rsidRPr="000F3390">
        <w:rPr>
          <w:rFonts w:ascii="Calibri" w:hAnsi="Calibri" w:cs="Calibri"/>
          <w:iCs/>
          <w:lang w:val="de-AT"/>
        </w:rPr>
        <w:t>José María Vigil</w:t>
      </w:r>
    </w:p>
    <w:p w:rsidR="000F3390" w:rsidRPr="000F3390" w:rsidRDefault="000F3390" w:rsidP="000F3390">
      <w:pPr>
        <w:pStyle w:val="Kopfzeile"/>
        <w:tabs>
          <w:tab w:val="clear" w:pos="4536"/>
          <w:tab w:val="clear" w:pos="9072"/>
          <w:tab w:val="left" w:pos="2835"/>
          <w:tab w:val="left" w:pos="7797"/>
        </w:tabs>
        <w:rPr>
          <w:rFonts w:ascii="Calibri" w:hAnsi="Calibri" w:cs="Calibri"/>
          <w:b/>
          <w:iCs/>
          <w:sz w:val="28"/>
          <w:szCs w:val="28"/>
          <w:lang w:val="de-AT"/>
        </w:rPr>
      </w:pPr>
      <w:r w:rsidRPr="000F3390">
        <w:rPr>
          <w:rFonts w:ascii="Calibri" w:hAnsi="Calibri" w:cs="Calibri"/>
          <w:b/>
          <w:iCs/>
          <w:sz w:val="28"/>
          <w:szCs w:val="28"/>
          <w:lang w:val="de-AT"/>
        </w:rPr>
        <w:t>Theol</w:t>
      </w:r>
      <w:r>
        <w:rPr>
          <w:rFonts w:ascii="Calibri" w:hAnsi="Calibri" w:cs="Calibri"/>
          <w:b/>
          <w:iCs/>
          <w:sz w:val="28"/>
          <w:szCs w:val="28"/>
          <w:lang w:val="de-AT"/>
        </w:rPr>
        <w:t>ogie des religiösen Pluralismus</w:t>
      </w:r>
    </w:p>
    <w:p w:rsidR="000F3390" w:rsidRPr="000F3390" w:rsidRDefault="000F3390" w:rsidP="000F3390">
      <w:pPr>
        <w:pStyle w:val="Kopfzeile"/>
        <w:tabs>
          <w:tab w:val="clear" w:pos="4536"/>
          <w:tab w:val="clear" w:pos="9072"/>
          <w:tab w:val="left" w:pos="2835"/>
          <w:tab w:val="left" w:pos="7797"/>
        </w:tabs>
        <w:rPr>
          <w:rFonts w:ascii="Calibri" w:hAnsi="Calibri" w:cs="Calibri"/>
          <w:iCs/>
          <w:lang w:val="de-AT"/>
        </w:rPr>
      </w:pPr>
      <w:r w:rsidRPr="000F3390">
        <w:rPr>
          <w:rFonts w:ascii="Calibri" w:hAnsi="Calibri" w:cs="Calibri"/>
          <w:iCs/>
          <w:lang w:val="de-AT"/>
        </w:rPr>
        <w:t>Eine lateinamerikanische Perspektive</w:t>
      </w:r>
    </w:p>
    <w:p w:rsidR="00D40621" w:rsidRDefault="000F3390" w:rsidP="000F3390">
      <w:pPr>
        <w:pStyle w:val="Kopfzeile"/>
        <w:tabs>
          <w:tab w:val="clear" w:pos="4536"/>
          <w:tab w:val="clear" w:pos="9072"/>
          <w:tab w:val="left" w:pos="2835"/>
          <w:tab w:val="left" w:pos="7797"/>
        </w:tabs>
        <w:rPr>
          <w:rFonts w:ascii="Calibri" w:hAnsi="Calibri" w:cs="Calibri"/>
          <w:iCs/>
          <w:lang w:val="de-AT"/>
        </w:rPr>
      </w:pPr>
      <w:r w:rsidRPr="000F3390">
        <w:rPr>
          <w:rFonts w:ascii="Calibri" w:hAnsi="Calibri" w:cs="Calibri"/>
          <w:iCs/>
          <w:lang w:val="de-AT"/>
        </w:rPr>
        <w:t>H</w:t>
      </w:r>
      <w:r w:rsidR="00F560E7" w:rsidRPr="000F3390">
        <w:rPr>
          <w:rFonts w:ascii="Calibri" w:hAnsi="Calibri" w:cs="Calibri"/>
          <w:iCs/>
          <w:lang w:val="de-AT"/>
        </w:rPr>
        <w:t>erausgegeben von Ulrich Winkler</w:t>
      </w:r>
      <w:r w:rsidRPr="000F3390">
        <w:rPr>
          <w:rFonts w:ascii="Calibri" w:hAnsi="Calibri" w:cs="Calibri"/>
          <w:iCs/>
          <w:lang w:val="de-AT"/>
        </w:rPr>
        <w:t xml:space="preserve">, </w:t>
      </w:r>
      <w:r>
        <w:rPr>
          <w:rFonts w:ascii="Calibri" w:hAnsi="Calibri" w:cs="Calibri"/>
          <w:iCs/>
          <w:lang w:val="de-AT"/>
        </w:rPr>
        <w:t>übersetzt von Helene Büchel</w:t>
      </w:r>
      <w:r w:rsidR="00D40621">
        <w:rPr>
          <w:rFonts w:ascii="Calibri" w:hAnsi="Calibri" w:cs="Calibri"/>
          <w:iCs/>
          <w:lang w:val="de-AT"/>
        </w:rPr>
        <w:t xml:space="preserve"> </w:t>
      </w:r>
    </w:p>
    <w:p w:rsidR="00F560E7" w:rsidRPr="000F3390" w:rsidRDefault="00D40621" w:rsidP="000F3390">
      <w:pPr>
        <w:pStyle w:val="Kopfzeile"/>
        <w:tabs>
          <w:tab w:val="clear" w:pos="4536"/>
          <w:tab w:val="clear" w:pos="9072"/>
          <w:tab w:val="left" w:pos="2835"/>
          <w:tab w:val="left" w:pos="7797"/>
        </w:tabs>
        <w:rPr>
          <w:rFonts w:ascii="Calibri" w:hAnsi="Calibri" w:cs="Calibri"/>
          <w:iCs/>
          <w:lang w:val="de-AT"/>
        </w:rPr>
      </w:pPr>
      <w:r>
        <w:rPr>
          <w:rFonts w:ascii="Calibri" w:hAnsi="Calibri" w:cs="Calibri"/>
          <w:iCs/>
          <w:lang w:val="de-AT"/>
        </w:rPr>
        <w:t>unter Mitarbeit von Reinhard Kirste</w:t>
      </w:r>
    </w:p>
    <w:p w:rsidR="00F560E7" w:rsidRPr="000F3390" w:rsidRDefault="00F560E7" w:rsidP="000F3390">
      <w:pPr>
        <w:pStyle w:val="Kopfzeile"/>
        <w:tabs>
          <w:tab w:val="clear" w:pos="4536"/>
          <w:tab w:val="clear" w:pos="9072"/>
          <w:tab w:val="left" w:pos="2835"/>
          <w:tab w:val="left" w:pos="7797"/>
        </w:tabs>
        <w:rPr>
          <w:rFonts w:ascii="Calibri" w:hAnsi="Calibri" w:cs="Calibri"/>
          <w:iCs/>
          <w:lang w:val="de-AT"/>
        </w:rPr>
      </w:pPr>
      <w:r w:rsidRPr="000F3390">
        <w:rPr>
          <w:rFonts w:ascii="Calibri" w:hAnsi="Calibri" w:cs="Calibri"/>
          <w:iCs/>
          <w:lang w:val="de-AT"/>
        </w:rPr>
        <w:t>(Salzburger Theologische Studien 4</w:t>
      </w:r>
      <w:r w:rsidR="000F3390">
        <w:rPr>
          <w:rFonts w:ascii="Calibri" w:hAnsi="Calibri" w:cs="Calibri"/>
          <w:iCs/>
          <w:lang w:val="de-AT"/>
        </w:rPr>
        <w:t>8</w:t>
      </w:r>
      <w:r w:rsidRPr="000F3390">
        <w:rPr>
          <w:rFonts w:ascii="Calibri" w:hAnsi="Calibri" w:cs="Calibri"/>
          <w:iCs/>
          <w:lang w:val="de-AT"/>
        </w:rPr>
        <w:t xml:space="preserve"> – interkulturell</w:t>
      </w:r>
      <w:r w:rsidR="000F3390">
        <w:rPr>
          <w:rFonts w:ascii="Calibri" w:hAnsi="Calibri" w:cs="Calibri"/>
          <w:iCs/>
          <w:lang w:val="de-AT"/>
        </w:rPr>
        <w:t xml:space="preserve"> 12</w:t>
      </w:r>
      <w:r w:rsidRPr="000F3390">
        <w:rPr>
          <w:rFonts w:ascii="Calibri" w:hAnsi="Calibri" w:cs="Calibri"/>
          <w:iCs/>
          <w:lang w:val="de-AT"/>
        </w:rPr>
        <w:t>)</w:t>
      </w:r>
    </w:p>
    <w:p w:rsidR="00F560E7" w:rsidRPr="00AB4AAD" w:rsidRDefault="00D40621" w:rsidP="00F560E7">
      <w:pPr>
        <w:tabs>
          <w:tab w:val="left" w:pos="2835"/>
          <w:tab w:val="left" w:pos="3420"/>
          <w:tab w:val="left" w:pos="7797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492</w:t>
      </w:r>
      <w:r w:rsidR="00F560E7" w:rsidRPr="00AB4AAD">
        <w:rPr>
          <w:rFonts w:ascii="Calibri" w:hAnsi="Calibri" w:cs="Calibri"/>
          <w:i/>
          <w:iCs/>
        </w:rPr>
        <w:t xml:space="preserve"> Seiten, 15 x 22,5 cm, Broschur</w:t>
      </w:r>
    </w:p>
    <w:p w:rsidR="00F560E7" w:rsidRPr="00AB4AAD" w:rsidRDefault="00D40621" w:rsidP="00F560E7">
      <w:pPr>
        <w:tabs>
          <w:tab w:val="left" w:pos="2835"/>
          <w:tab w:val="left" w:pos="3420"/>
          <w:tab w:val="left" w:pos="7797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</w:rPr>
        <w:t>Tyrolia-Verlag, Innsbruck-Wien 2013</w:t>
      </w:r>
      <w:r>
        <w:rPr>
          <w:rFonts w:ascii="Calibri" w:hAnsi="Calibri" w:cs="Calibri"/>
          <w:i/>
        </w:rPr>
        <w:br/>
      </w:r>
      <w:r w:rsidR="00F560E7" w:rsidRPr="00AB4AAD">
        <w:rPr>
          <w:rFonts w:ascii="Calibri" w:hAnsi="Calibri" w:cs="Calibri"/>
          <w:i/>
        </w:rPr>
        <w:t xml:space="preserve">ISBN </w:t>
      </w:r>
      <w:bookmarkStart w:id="0" w:name="_GoBack"/>
      <w:r w:rsidR="00F560E7" w:rsidRPr="00AB4AAD">
        <w:rPr>
          <w:rFonts w:ascii="Calibri" w:hAnsi="Calibri" w:cs="Calibri"/>
          <w:i/>
        </w:rPr>
        <w:t>978-3-7022-</w:t>
      </w:r>
      <w:r>
        <w:rPr>
          <w:rFonts w:ascii="Calibri" w:hAnsi="Calibri" w:cs="Calibri"/>
          <w:i/>
        </w:rPr>
        <w:t>3193-4</w:t>
      </w:r>
      <w:bookmarkEnd w:id="0"/>
    </w:p>
    <w:p w:rsidR="00F560E7" w:rsidRPr="00AB4AAD" w:rsidRDefault="00F560E7" w:rsidP="00F560E7">
      <w:pPr>
        <w:tabs>
          <w:tab w:val="left" w:pos="2835"/>
          <w:tab w:val="left" w:pos="3420"/>
          <w:tab w:val="left" w:pos="7797"/>
        </w:tabs>
        <w:rPr>
          <w:rFonts w:ascii="Calibri" w:hAnsi="Calibri" w:cs="Calibri"/>
          <w:i/>
          <w:iCs/>
        </w:rPr>
      </w:pPr>
      <w:r w:rsidRPr="00AB4AAD">
        <w:rPr>
          <w:rFonts w:ascii="Calibri" w:hAnsi="Calibri" w:cs="Calibri"/>
          <w:i/>
          <w:iCs/>
        </w:rPr>
        <w:t xml:space="preserve">€ </w:t>
      </w:r>
      <w:r>
        <w:rPr>
          <w:rFonts w:ascii="Calibri" w:hAnsi="Calibri" w:cs="Calibri"/>
          <w:i/>
          <w:iCs/>
        </w:rPr>
        <w:t>39</w:t>
      </w:r>
      <w:r w:rsidRPr="00AB4AAD">
        <w:rPr>
          <w:rFonts w:ascii="Calibri" w:hAnsi="Calibri" w:cs="Calibri"/>
          <w:i/>
          <w:iCs/>
        </w:rPr>
        <w:t>,– / SFr.</w:t>
      </w:r>
      <w:r>
        <w:rPr>
          <w:rFonts w:ascii="Calibri" w:hAnsi="Calibri" w:cs="Calibri"/>
          <w:i/>
          <w:iCs/>
        </w:rPr>
        <w:t xml:space="preserve"> 51,90</w:t>
      </w:r>
    </w:p>
    <w:p w:rsidR="00F560E7" w:rsidRDefault="00F560E7" w:rsidP="00F560E7">
      <w:pPr>
        <w:tabs>
          <w:tab w:val="left" w:pos="2835"/>
        </w:tabs>
        <w:ind w:left="709" w:hanging="709"/>
        <w:rPr>
          <w:rFonts w:ascii="Calibri" w:hAnsi="Calibri" w:cs="Tahoma"/>
          <w:b/>
          <w:bCs/>
          <w:highlight w:val="green"/>
        </w:rPr>
      </w:pPr>
    </w:p>
    <w:p w:rsidR="009856A9" w:rsidRPr="00100014" w:rsidRDefault="009856A9" w:rsidP="009856A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de-AT"/>
        </w:rPr>
      </w:pPr>
    </w:p>
    <w:p w:rsidR="009856A9" w:rsidRPr="00D40621" w:rsidRDefault="00D7158C" w:rsidP="009856A9">
      <w:pPr>
        <w:ind w:righ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40621">
        <w:rPr>
          <w:rFonts w:asciiTheme="minorHAnsi" w:hAnsiTheme="minorHAnsi" w:cstheme="minorHAnsi"/>
          <w:b/>
          <w:sz w:val="28"/>
          <w:szCs w:val="28"/>
        </w:rPr>
        <w:t>Plädoyer für eine lebendige Spiritualität, die den religiösen Pluralismus bejaht</w:t>
      </w:r>
    </w:p>
    <w:p w:rsidR="009856A9" w:rsidRPr="000A31A4" w:rsidRDefault="009856A9" w:rsidP="000A31A4">
      <w:pPr>
        <w:ind w:right="14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0A0C" w:rsidRDefault="00F560E7" w:rsidP="00F560E7">
      <w:pPr>
        <w:tabs>
          <w:tab w:val="left" w:pos="2835"/>
          <w:tab w:val="left" w:pos="3420"/>
          <w:tab w:val="left" w:pos="7797"/>
        </w:tabs>
        <w:rPr>
          <w:rFonts w:ascii="Calibri" w:hAnsi="Calibri" w:cs="Calibri"/>
        </w:rPr>
      </w:pPr>
      <w:r w:rsidRPr="00F560E7">
        <w:rPr>
          <w:rFonts w:ascii="Calibri" w:hAnsi="Calibri" w:cs="Calibri"/>
        </w:rPr>
        <w:t>José María Vigil nähert sich dem Thema des religiösen Pluralismus durch</w:t>
      </w:r>
      <w:r w:rsidR="00F415D0">
        <w:rPr>
          <w:rFonts w:ascii="Calibri" w:hAnsi="Calibri" w:cs="Calibri"/>
        </w:rPr>
        <w:t xml:space="preserve"> eine, wie er es nennt, „</w:t>
      </w:r>
      <w:r w:rsidRPr="00F560E7">
        <w:rPr>
          <w:rFonts w:ascii="Calibri" w:hAnsi="Calibri" w:cs="Calibri"/>
        </w:rPr>
        <w:t>lateinamerikanische</w:t>
      </w:r>
      <w:r w:rsidR="00F415D0">
        <w:rPr>
          <w:rFonts w:ascii="Calibri" w:hAnsi="Calibri" w:cs="Calibri"/>
        </w:rPr>
        <w:t>“</w:t>
      </w:r>
      <w:r w:rsidRPr="00F560E7">
        <w:rPr>
          <w:rFonts w:ascii="Calibri" w:hAnsi="Calibri" w:cs="Calibri"/>
        </w:rPr>
        <w:t xml:space="preserve"> Methodol</w:t>
      </w:r>
      <w:r w:rsidR="00F415D0">
        <w:rPr>
          <w:rFonts w:ascii="Calibri" w:hAnsi="Calibri" w:cs="Calibri"/>
        </w:rPr>
        <w:t>ogie, die dem bekannten Schema „</w:t>
      </w:r>
      <w:r w:rsidRPr="00F560E7">
        <w:rPr>
          <w:rFonts w:ascii="Calibri" w:hAnsi="Calibri" w:cs="Calibri"/>
        </w:rPr>
        <w:t>Sehen, Urteilen, Handeln</w:t>
      </w:r>
      <w:r w:rsidR="00F415D0">
        <w:rPr>
          <w:rFonts w:ascii="Calibri" w:hAnsi="Calibri" w:cs="Calibri"/>
        </w:rPr>
        <w:t>“</w:t>
      </w:r>
      <w:r w:rsidRPr="00F560E7">
        <w:rPr>
          <w:rFonts w:ascii="Calibri" w:hAnsi="Calibri" w:cs="Calibri"/>
        </w:rPr>
        <w:t xml:space="preserve"> folgt. Aus historischer und aktueller Perspektive entfaltet er zunächst die Tatsache der religiösen Pluralität in der Welt. Im zweiten Schritt stellt </w:t>
      </w:r>
      <w:r w:rsidR="00773A08">
        <w:rPr>
          <w:rFonts w:ascii="Calibri" w:hAnsi="Calibri" w:cs="Calibri"/>
        </w:rPr>
        <w:t>er</w:t>
      </w:r>
      <w:r w:rsidRPr="00F560E7">
        <w:rPr>
          <w:rFonts w:ascii="Calibri" w:hAnsi="Calibri" w:cs="Calibri"/>
        </w:rPr>
        <w:t xml:space="preserve"> verschiedene Instrumentarien </w:t>
      </w:r>
      <w:r w:rsidR="00F415D0">
        <w:rPr>
          <w:rFonts w:ascii="Calibri" w:hAnsi="Calibri" w:cs="Calibri"/>
        </w:rPr>
        <w:t>vor</w:t>
      </w:r>
      <w:r w:rsidRPr="00F560E7">
        <w:rPr>
          <w:rFonts w:ascii="Calibri" w:hAnsi="Calibri" w:cs="Calibri"/>
        </w:rPr>
        <w:t>, die</w:t>
      </w:r>
      <w:r w:rsidR="00D7158C">
        <w:rPr>
          <w:rFonts w:ascii="Calibri" w:hAnsi="Calibri" w:cs="Calibri"/>
        </w:rPr>
        <w:t xml:space="preserve"> die</w:t>
      </w:r>
      <w:r w:rsidRPr="00F560E7">
        <w:rPr>
          <w:rFonts w:ascii="Calibri" w:hAnsi="Calibri" w:cs="Calibri"/>
        </w:rPr>
        <w:t>se Wirklichkeit e</w:t>
      </w:r>
      <w:r w:rsidR="00F415D0">
        <w:rPr>
          <w:rFonts w:ascii="Calibri" w:hAnsi="Calibri" w:cs="Calibri"/>
        </w:rPr>
        <w:t>rläutern und interpretieren</w:t>
      </w:r>
      <w:r w:rsidR="00D7158C">
        <w:rPr>
          <w:rFonts w:ascii="Calibri" w:hAnsi="Calibri" w:cs="Calibri"/>
        </w:rPr>
        <w:t xml:space="preserve"> helfen</w:t>
      </w:r>
      <w:r w:rsidR="00F415D0">
        <w:rPr>
          <w:rFonts w:ascii="Calibri" w:hAnsi="Calibri" w:cs="Calibri"/>
        </w:rPr>
        <w:t>.</w:t>
      </w:r>
      <w:r w:rsidRPr="00F560E7">
        <w:rPr>
          <w:rFonts w:ascii="Calibri" w:hAnsi="Calibri" w:cs="Calibri"/>
        </w:rPr>
        <w:t xml:space="preserve"> Er bespricht verschiedene Paradigmen des religiösen Pluralismus und betrachtet ihn unter </w:t>
      </w:r>
      <w:r w:rsidR="00F415D0">
        <w:rPr>
          <w:rFonts w:ascii="Calibri" w:hAnsi="Calibri" w:cs="Calibri"/>
        </w:rPr>
        <w:t xml:space="preserve">biblischem, </w:t>
      </w:r>
      <w:proofErr w:type="spellStart"/>
      <w:r w:rsidR="00F415D0">
        <w:rPr>
          <w:rFonts w:ascii="Calibri" w:hAnsi="Calibri" w:cs="Calibri"/>
        </w:rPr>
        <w:t>ekklesiologischem</w:t>
      </w:r>
      <w:proofErr w:type="spellEnd"/>
      <w:r w:rsidRPr="00F560E7">
        <w:rPr>
          <w:rFonts w:ascii="Calibri" w:hAnsi="Calibri" w:cs="Calibri"/>
        </w:rPr>
        <w:t xml:space="preserve"> </w:t>
      </w:r>
      <w:r w:rsidR="00F415D0">
        <w:rPr>
          <w:rFonts w:ascii="Calibri" w:hAnsi="Calibri" w:cs="Calibri"/>
        </w:rPr>
        <w:t>und</w:t>
      </w:r>
      <w:r w:rsidRPr="00F560E7">
        <w:rPr>
          <w:rFonts w:ascii="Calibri" w:hAnsi="Calibri" w:cs="Calibri"/>
        </w:rPr>
        <w:t xml:space="preserve"> chr</w:t>
      </w:r>
      <w:r w:rsidR="00F415D0">
        <w:rPr>
          <w:rFonts w:ascii="Calibri" w:hAnsi="Calibri" w:cs="Calibri"/>
        </w:rPr>
        <w:t>i</w:t>
      </w:r>
      <w:r w:rsidRPr="00F560E7">
        <w:rPr>
          <w:rFonts w:ascii="Calibri" w:hAnsi="Calibri" w:cs="Calibri"/>
        </w:rPr>
        <w:t>stologisch-dogmatische</w:t>
      </w:r>
      <w:r w:rsidR="00F415D0">
        <w:rPr>
          <w:rFonts w:ascii="Calibri" w:hAnsi="Calibri" w:cs="Calibri"/>
        </w:rPr>
        <w:t>m</w:t>
      </w:r>
      <w:r w:rsidRPr="00F560E7">
        <w:rPr>
          <w:rFonts w:ascii="Calibri" w:hAnsi="Calibri" w:cs="Calibri"/>
        </w:rPr>
        <w:t xml:space="preserve"> Blickwinkel. Schließlich führt er im letz</w:t>
      </w:r>
      <w:r w:rsidR="00F415D0">
        <w:rPr>
          <w:rFonts w:ascii="Calibri" w:hAnsi="Calibri" w:cs="Calibri"/>
        </w:rPr>
        <w:t>t</w:t>
      </w:r>
      <w:r w:rsidRPr="00F560E7">
        <w:rPr>
          <w:rFonts w:ascii="Calibri" w:hAnsi="Calibri" w:cs="Calibri"/>
        </w:rPr>
        <w:t>en Teil des Buches wieder in die konkrete Lebenswelt der Menschen</w:t>
      </w:r>
      <w:r w:rsidR="00F415D0">
        <w:rPr>
          <w:rFonts w:ascii="Calibri" w:hAnsi="Calibri" w:cs="Calibri"/>
        </w:rPr>
        <w:t>, zum „</w:t>
      </w:r>
      <w:r w:rsidRPr="00F560E7">
        <w:rPr>
          <w:rFonts w:ascii="Calibri" w:hAnsi="Calibri" w:cs="Calibri"/>
        </w:rPr>
        <w:t>Hand</w:t>
      </w:r>
      <w:r w:rsidR="00F415D0">
        <w:rPr>
          <w:rFonts w:ascii="Calibri" w:hAnsi="Calibri" w:cs="Calibri"/>
        </w:rPr>
        <w:t>el</w:t>
      </w:r>
      <w:r w:rsidRPr="00F560E7">
        <w:rPr>
          <w:rFonts w:ascii="Calibri" w:hAnsi="Calibri" w:cs="Calibri"/>
        </w:rPr>
        <w:t>n</w:t>
      </w:r>
      <w:r w:rsidR="00F415D0">
        <w:rPr>
          <w:rFonts w:ascii="Calibri" w:hAnsi="Calibri" w:cs="Calibri"/>
        </w:rPr>
        <w:t>“</w:t>
      </w:r>
      <w:r w:rsidR="00773A08">
        <w:rPr>
          <w:rFonts w:ascii="Calibri" w:hAnsi="Calibri" w:cs="Calibri"/>
        </w:rPr>
        <w:t>,</w:t>
      </w:r>
      <w:r w:rsidR="00FD0A0C">
        <w:rPr>
          <w:rFonts w:ascii="Calibri" w:hAnsi="Calibri" w:cs="Calibri"/>
        </w:rPr>
        <w:t xml:space="preserve"> und entfaltet eine neue</w:t>
      </w:r>
      <w:r w:rsidRPr="00F560E7">
        <w:rPr>
          <w:rFonts w:ascii="Calibri" w:hAnsi="Calibri" w:cs="Calibri"/>
        </w:rPr>
        <w:t xml:space="preserve"> Spiritualität </w:t>
      </w:r>
      <w:r w:rsidR="00FD0A0C">
        <w:rPr>
          <w:rFonts w:ascii="Calibri" w:hAnsi="Calibri" w:cs="Calibri"/>
        </w:rPr>
        <w:t xml:space="preserve">und </w:t>
      </w:r>
      <w:r w:rsidR="00D7158C">
        <w:rPr>
          <w:rFonts w:ascii="Calibri" w:hAnsi="Calibri" w:cs="Calibri"/>
        </w:rPr>
        <w:t xml:space="preserve">eine neue </w:t>
      </w:r>
      <w:r w:rsidRPr="00F560E7">
        <w:rPr>
          <w:rFonts w:ascii="Calibri" w:hAnsi="Calibri" w:cs="Calibri"/>
        </w:rPr>
        <w:t>Dialog</w:t>
      </w:r>
      <w:r w:rsidR="00D7158C">
        <w:rPr>
          <w:rFonts w:ascii="Calibri" w:hAnsi="Calibri" w:cs="Calibri"/>
        </w:rPr>
        <w:t>praxis</w:t>
      </w:r>
      <w:r w:rsidRPr="00F560E7">
        <w:rPr>
          <w:rFonts w:ascii="Calibri" w:hAnsi="Calibri" w:cs="Calibri"/>
        </w:rPr>
        <w:t xml:space="preserve">. </w:t>
      </w:r>
    </w:p>
    <w:p w:rsidR="009856A9" w:rsidRPr="00F560E7" w:rsidRDefault="00F560E7" w:rsidP="00F560E7">
      <w:pPr>
        <w:tabs>
          <w:tab w:val="left" w:pos="2835"/>
          <w:tab w:val="left" w:pos="3420"/>
          <w:tab w:val="left" w:pos="7797"/>
        </w:tabs>
        <w:rPr>
          <w:rFonts w:ascii="Calibri" w:hAnsi="Calibri" w:cs="Calibri"/>
        </w:rPr>
      </w:pPr>
      <w:r w:rsidRPr="00F560E7">
        <w:rPr>
          <w:rFonts w:ascii="Calibri" w:hAnsi="Calibri" w:cs="Calibri"/>
        </w:rPr>
        <w:t xml:space="preserve">Das gesamte Buch versteht sich als ein </w:t>
      </w:r>
      <w:r w:rsidR="00FD0A0C">
        <w:rPr>
          <w:rFonts w:ascii="Calibri" w:hAnsi="Calibri" w:cs="Calibri"/>
        </w:rPr>
        <w:t>Glaubenskurs</w:t>
      </w:r>
      <w:r w:rsidRPr="00F560E7">
        <w:rPr>
          <w:rFonts w:ascii="Calibri" w:hAnsi="Calibri" w:cs="Calibri"/>
        </w:rPr>
        <w:t>, der in einer Gruppe durchgeführt wer</w:t>
      </w:r>
      <w:r w:rsidR="00FD0A0C">
        <w:rPr>
          <w:rFonts w:ascii="Calibri" w:hAnsi="Calibri" w:cs="Calibri"/>
        </w:rPr>
        <w:t>den kann</w:t>
      </w:r>
      <w:r w:rsidRPr="00F560E7">
        <w:rPr>
          <w:rFonts w:ascii="Calibri" w:hAnsi="Calibri" w:cs="Calibri"/>
        </w:rPr>
        <w:t xml:space="preserve"> aber auch zur persönlichen Lektüre dient. </w:t>
      </w:r>
      <w:r w:rsidR="00FD0A0C">
        <w:rPr>
          <w:rFonts w:ascii="Calibri" w:hAnsi="Calibri" w:cs="Calibri"/>
        </w:rPr>
        <w:t>Deshalb stellt Vigil in jedem Kapitel Texte zur Diskussion, empfiehlt Übungen und stellt Fragen zur persönlichen Standortüberprüfung</w:t>
      </w:r>
      <w:r w:rsidRPr="00F560E7">
        <w:rPr>
          <w:rFonts w:ascii="Calibri" w:hAnsi="Calibri" w:cs="Calibri"/>
        </w:rPr>
        <w:t>.</w:t>
      </w:r>
    </w:p>
    <w:p w:rsidR="00F560E7" w:rsidRPr="000A31A4" w:rsidRDefault="00F560E7" w:rsidP="000A31A4">
      <w:pPr>
        <w:rPr>
          <w:rFonts w:asciiTheme="minorHAnsi" w:hAnsiTheme="minorHAnsi" w:cstheme="minorHAnsi"/>
        </w:rPr>
      </w:pPr>
    </w:p>
    <w:p w:rsidR="009856A9" w:rsidRPr="00561A3C" w:rsidRDefault="00F560E7" w:rsidP="00561A3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Der Verfasser:</w:t>
      </w:r>
    </w:p>
    <w:p w:rsidR="000A31A4" w:rsidRPr="000A31A4" w:rsidRDefault="00F560E7" w:rsidP="000A31A4">
      <w:pPr>
        <w:rPr>
          <w:rFonts w:asciiTheme="minorHAnsi" w:hAnsiTheme="minorHAnsi" w:cstheme="minorHAnsi"/>
        </w:rPr>
      </w:pPr>
      <w:r w:rsidRPr="00F560E7">
        <w:rPr>
          <w:rFonts w:ascii="Calibri" w:hAnsi="Calibri" w:cs="Calibri"/>
          <w:smallCaps/>
        </w:rPr>
        <w:t>José María Vigil</w:t>
      </w:r>
      <w:r w:rsidR="000A31A4" w:rsidRPr="000A31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geb. 1946 in </w:t>
      </w:r>
      <w:proofErr w:type="spellStart"/>
      <w:r>
        <w:rPr>
          <w:rFonts w:asciiTheme="minorHAnsi" w:hAnsiTheme="minorHAnsi" w:cstheme="minorHAnsi"/>
        </w:rPr>
        <w:t>Saragozza</w:t>
      </w:r>
      <w:proofErr w:type="spellEnd"/>
      <w:r>
        <w:rPr>
          <w:rFonts w:asciiTheme="minorHAnsi" w:hAnsiTheme="minorHAnsi" w:cstheme="minorHAnsi"/>
        </w:rPr>
        <w:t xml:space="preserve">, studierte Theologie in Salamanca und Rom sowie Klinische Psychologie in Managua. Er gehört dem Orden der </w:t>
      </w:r>
      <w:proofErr w:type="spellStart"/>
      <w:r>
        <w:rPr>
          <w:rFonts w:asciiTheme="minorHAnsi" w:hAnsiTheme="minorHAnsi" w:cstheme="minorHAnsi"/>
        </w:rPr>
        <w:t>Claretiner</w:t>
      </w:r>
      <w:proofErr w:type="spellEnd"/>
      <w:r>
        <w:rPr>
          <w:rFonts w:asciiTheme="minorHAnsi" w:hAnsiTheme="minorHAnsi" w:cstheme="minorHAnsi"/>
        </w:rPr>
        <w:t xml:space="preserve"> an und lebt derzeit in Panama</w:t>
      </w:r>
      <w:r w:rsidR="000A31A4" w:rsidRPr="000A31A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Er ist Koordinator der internationalen</w:t>
      </w:r>
      <w:r w:rsidR="00F415D0">
        <w:rPr>
          <w:rFonts w:asciiTheme="minorHAnsi" w:hAnsiTheme="minorHAnsi" w:cstheme="minorHAnsi"/>
        </w:rPr>
        <w:t xml:space="preserve"> Theologenkommission der </w:t>
      </w:r>
      <w:r w:rsidR="00F415D0" w:rsidRPr="00F415D0">
        <w:rPr>
          <w:rFonts w:asciiTheme="minorHAnsi" w:hAnsiTheme="minorHAnsi" w:cstheme="minorHAnsi"/>
        </w:rPr>
        <w:t>EATWOT (</w:t>
      </w:r>
      <w:proofErr w:type="spellStart"/>
      <w:r w:rsidR="00F415D0" w:rsidRPr="00F415D0">
        <w:rPr>
          <w:rFonts w:asciiTheme="minorHAnsi" w:hAnsiTheme="minorHAnsi" w:cstheme="minorHAnsi"/>
        </w:rPr>
        <w:t>Ecumenical</w:t>
      </w:r>
      <w:proofErr w:type="spellEnd"/>
      <w:r w:rsidR="00F415D0" w:rsidRPr="00F415D0">
        <w:rPr>
          <w:rFonts w:asciiTheme="minorHAnsi" w:hAnsiTheme="minorHAnsi" w:cstheme="minorHAnsi"/>
        </w:rPr>
        <w:t xml:space="preserve"> </w:t>
      </w:r>
      <w:proofErr w:type="spellStart"/>
      <w:r w:rsidR="00F415D0" w:rsidRPr="00F415D0">
        <w:rPr>
          <w:rFonts w:asciiTheme="minorHAnsi" w:hAnsiTheme="minorHAnsi" w:cstheme="minorHAnsi"/>
        </w:rPr>
        <w:t>Association</w:t>
      </w:r>
      <w:proofErr w:type="spellEnd"/>
      <w:r w:rsidR="00F415D0" w:rsidRPr="00F415D0">
        <w:rPr>
          <w:rFonts w:asciiTheme="minorHAnsi" w:hAnsiTheme="minorHAnsi" w:cstheme="minorHAnsi"/>
        </w:rPr>
        <w:t xml:space="preserve"> </w:t>
      </w:r>
      <w:proofErr w:type="spellStart"/>
      <w:r w:rsidR="00F415D0" w:rsidRPr="00F415D0">
        <w:rPr>
          <w:rFonts w:asciiTheme="minorHAnsi" w:hAnsiTheme="minorHAnsi" w:cstheme="minorHAnsi"/>
        </w:rPr>
        <w:t>of</w:t>
      </w:r>
      <w:proofErr w:type="spellEnd"/>
      <w:r w:rsidR="00F415D0" w:rsidRPr="00F415D0">
        <w:rPr>
          <w:rFonts w:asciiTheme="minorHAnsi" w:hAnsiTheme="minorHAnsi" w:cstheme="minorHAnsi"/>
        </w:rPr>
        <w:t xml:space="preserve"> Third World </w:t>
      </w:r>
      <w:proofErr w:type="spellStart"/>
      <w:r w:rsidR="00F415D0" w:rsidRPr="00F415D0">
        <w:rPr>
          <w:rFonts w:asciiTheme="minorHAnsi" w:hAnsiTheme="minorHAnsi" w:cstheme="minorHAnsi"/>
        </w:rPr>
        <w:t>Theologians</w:t>
      </w:r>
      <w:proofErr w:type="spellEnd"/>
      <w:r w:rsidR="00F415D0" w:rsidRPr="00F415D0">
        <w:rPr>
          <w:rFonts w:asciiTheme="minorHAnsi" w:hAnsiTheme="minorHAnsi" w:cstheme="minorHAnsi"/>
        </w:rPr>
        <w:t>) und einer der führenden Befreiungstheologen. Seine Bücher sind in neun Sprachen übersetzt worden.</w:t>
      </w:r>
    </w:p>
    <w:p w:rsidR="00933496" w:rsidRDefault="00933496" w:rsidP="000A31A4">
      <w:pPr>
        <w:spacing w:line="300" w:lineRule="atLeast"/>
        <w:rPr>
          <w:rFonts w:asciiTheme="minorHAnsi" w:hAnsiTheme="minorHAnsi" w:cstheme="minorHAnsi"/>
        </w:rPr>
      </w:pPr>
    </w:p>
    <w:p w:rsidR="00933496" w:rsidRDefault="00933496" w:rsidP="000A31A4">
      <w:pPr>
        <w:spacing w:line="300" w:lineRule="atLeast"/>
        <w:rPr>
          <w:rFonts w:asciiTheme="minorHAnsi" w:hAnsiTheme="minorHAnsi" w:cstheme="minorHAnsi"/>
        </w:rPr>
      </w:pPr>
    </w:p>
    <w:p w:rsidR="00933496" w:rsidRDefault="00933496" w:rsidP="00933496">
      <w:pPr>
        <w:spacing w:line="30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„Heute religiös sein, heißt interreligiös sein.“</w:t>
      </w:r>
    </w:p>
    <w:p w:rsidR="00933496" w:rsidRPr="00167F5C" w:rsidRDefault="00933496" w:rsidP="00933496">
      <w:pPr>
        <w:spacing w:line="30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Dupuis</w:t>
      </w:r>
    </w:p>
    <w:sectPr w:rsidR="00933496" w:rsidRPr="00167F5C">
      <w:headerReference w:type="default" r:id="rId9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55" w:rsidRDefault="00512055">
      <w:r>
        <w:separator/>
      </w:r>
    </w:p>
  </w:endnote>
  <w:endnote w:type="continuationSeparator" w:id="0">
    <w:p w:rsidR="00512055" w:rsidRDefault="0051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55" w:rsidRDefault="00512055">
      <w:r>
        <w:separator/>
      </w:r>
    </w:p>
  </w:footnote>
  <w:footnote w:type="continuationSeparator" w:id="0">
    <w:p w:rsidR="00512055" w:rsidRDefault="0051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8C" w:rsidRDefault="00D7158C">
    <w:pPr>
      <w:pStyle w:val="berschrift3"/>
      <w:jc w:val="left"/>
    </w:pPr>
  </w:p>
  <w:p w:rsidR="00D7158C" w:rsidRDefault="00D7158C">
    <w:pPr>
      <w:pStyle w:val="berschrift3"/>
      <w:jc w:val="left"/>
    </w:pPr>
  </w:p>
  <w:p w:rsidR="00D7158C" w:rsidRDefault="00D7158C">
    <w:pPr>
      <w:pStyle w:val="berschrift3"/>
      <w:jc w:val="left"/>
    </w:pPr>
    <w:r>
      <w:t xml:space="preserve">Tyrolia-Verlag </w:t>
    </w:r>
    <w:r>
      <w:rPr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A31A4"/>
    <w:rsid w:val="000D6523"/>
    <w:rsid w:val="000F3390"/>
    <w:rsid w:val="0011169D"/>
    <w:rsid w:val="001341E0"/>
    <w:rsid w:val="00154EAF"/>
    <w:rsid w:val="00167F5C"/>
    <w:rsid w:val="00226AC2"/>
    <w:rsid w:val="00241BD3"/>
    <w:rsid w:val="00336414"/>
    <w:rsid w:val="003D1C70"/>
    <w:rsid w:val="004A210D"/>
    <w:rsid w:val="00512055"/>
    <w:rsid w:val="00561A3C"/>
    <w:rsid w:val="006838A6"/>
    <w:rsid w:val="006B5FC0"/>
    <w:rsid w:val="006F4FEA"/>
    <w:rsid w:val="007358DF"/>
    <w:rsid w:val="00752F15"/>
    <w:rsid w:val="00773A08"/>
    <w:rsid w:val="00933496"/>
    <w:rsid w:val="00952AD5"/>
    <w:rsid w:val="009856A9"/>
    <w:rsid w:val="009E491F"/>
    <w:rsid w:val="00A80B74"/>
    <w:rsid w:val="00B36F8C"/>
    <w:rsid w:val="00B751D7"/>
    <w:rsid w:val="00D40621"/>
    <w:rsid w:val="00D7158C"/>
    <w:rsid w:val="00F415D0"/>
    <w:rsid w:val="00F560E7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A31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7F5C"/>
    <w:pPr>
      <w:spacing w:before="120" w:after="120" w:line="300" w:lineRule="atLeast"/>
    </w:pPr>
    <w:rPr>
      <w:lang w:val="de-AT" w:eastAsia="de-AT"/>
    </w:rPr>
  </w:style>
  <w:style w:type="character" w:customStyle="1" w:styleId="fliessfett1">
    <w:name w:val="fliess_fett1"/>
    <w:basedOn w:val="Absatz-Standardschriftart"/>
    <w:rsid w:val="00167F5C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31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A31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7F5C"/>
    <w:pPr>
      <w:spacing w:before="120" w:after="120" w:line="300" w:lineRule="atLeast"/>
    </w:pPr>
    <w:rPr>
      <w:lang w:val="de-AT" w:eastAsia="de-AT"/>
    </w:rPr>
  </w:style>
  <w:style w:type="character" w:customStyle="1" w:styleId="fliessfett1">
    <w:name w:val="fliess_fett1"/>
    <w:basedOn w:val="Absatz-Standardschriftart"/>
    <w:rsid w:val="00167F5C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31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 Brunhilde</dc:creator>
  <cp:keywords/>
  <dc:description/>
  <cp:lastModifiedBy>IT</cp:lastModifiedBy>
  <cp:revision>2</cp:revision>
  <dcterms:created xsi:type="dcterms:W3CDTF">2013-08-19T08:57:00Z</dcterms:created>
  <dcterms:modified xsi:type="dcterms:W3CDTF">2013-08-19T08:57:00Z</dcterms:modified>
</cp:coreProperties>
</file>