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6A9" w:rsidRDefault="002D4B82" w:rsidP="009856A9">
      <w:pPr>
        <w:pStyle w:val="Kopfzeile"/>
        <w:tabs>
          <w:tab w:val="clear" w:pos="4536"/>
          <w:tab w:val="clear" w:pos="9072"/>
          <w:tab w:val="left" w:pos="7797"/>
        </w:tabs>
        <w:rPr>
          <w:rFonts w:ascii="Calibri" w:hAnsi="Calibri" w:cs="Calibri"/>
          <w:sz w:val="22"/>
          <w:szCs w:val="22"/>
          <w:lang w:val="de-AT"/>
        </w:rPr>
      </w:pPr>
      <w:r>
        <w:rPr>
          <w:rFonts w:ascii="Calibri" w:hAnsi="Calibri" w:cs="Calibri"/>
          <w:iCs/>
          <w:noProof/>
        </w:rPr>
        <w:drawing>
          <wp:anchor distT="0" distB="0" distL="114300" distR="114300" simplePos="0" relativeHeight="251658240" behindDoc="0" locked="0" layoutInCell="1" allowOverlap="1" wp14:anchorId="245D441A" wp14:editId="290A6D5E">
            <wp:simplePos x="0" y="0"/>
            <wp:positionH relativeFrom="column">
              <wp:posOffset>4138176</wp:posOffset>
            </wp:positionH>
            <wp:positionV relativeFrom="paragraph">
              <wp:posOffset>27305</wp:posOffset>
            </wp:positionV>
            <wp:extent cx="1448553" cy="208597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1-0_STS 46 - Winkl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0765" cy="2089160"/>
                    </a:xfrm>
                    <a:prstGeom prst="rect">
                      <a:avLst/>
                    </a:prstGeom>
                  </pic:spPr>
                </pic:pic>
              </a:graphicData>
            </a:graphic>
            <wp14:sizeRelH relativeFrom="page">
              <wp14:pctWidth>0</wp14:pctWidth>
            </wp14:sizeRelH>
            <wp14:sizeRelV relativeFrom="page">
              <wp14:pctHeight>0</wp14:pctHeight>
            </wp14:sizeRelV>
          </wp:anchor>
        </w:drawing>
      </w:r>
    </w:p>
    <w:p w:rsidR="002D4B82" w:rsidRDefault="002D4B82" w:rsidP="009856A9">
      <w:pPr>
        <w:pStyle w:val="Kopfzeile"/>
        <w:tabs>
          <w:tab w:val="clear" w:pos="4536"/>
          <w:tab w:val="clear" w:pos="9072"/>
          <w:tab w:val="left" w:pos="7797"/>
        </w:tabs>
        <w:rPr>
          <w:rFonts w:ascii="Calibri" w:hAnsi="Calibri" w:cs="Calibri"/>
          <w:sz w:val="22"/>
          <w:szCs w:val="22"/>
          <w:lang w:val="de-AT"/>
        </w:rPr>
      </w:pPr>
    </w:p>
    <w:p w:rsidR="002D4B82" w:rsidRPr="00100014" w:rsidRDefault="002D4B82" w:rsidP="009856A9">
      <w:pPr>
        <w:pStyle w:val="Kopfzeile"/>
        <w:tabs>
          <w:tab w:val="clear" w:pos="4536"/>
          <w:tab w:val="clear" w:pos="9072"/>
          <w:tab w:val="left" w:pos="7797"/>
        </w:tabs>
        <w:rPr>
          <w:rFonts w:ascii="Calibri" w:hAnsi="Calibri" w:cs="Calibri"/>
          <w:sz w:val="22"/>
          <w:szCs w:val="22"/>
          <w:lang w:val="de-AT"/>
        </w:rPr>
      </w:pPr>
    </w:p>
    <w:p w:rsidR="00F436F4" w:rsidRPr="00B02449" w:rsidRDefault="007B2423" w:rsidP="00F436F4">
      <w:pPr>
        <w:pStyle w:val="Kopfzeile"/>
        <w:tabs>
          <w:tab w:val="clear" w:pos="4536"/>
          <w:tab w:val="clear" w:pos="9072"/>
          <w:tab w:val="left" w:pos="2835"/>
          <w:tab w:val="left" w:pos="7797"/>
        </w:tabs>
        <w:rPr>
          <w:rFonts w:ascii="Calibri" w:hAnsi="Calibri" w:cs="Calibri"/>
          <w:iCs/>
          <w:lang w:val="de-AT"/>
        </w:rPr>
      </w:pPr>
      <w:r>
        <w:rPr>
          <w:rFonts w:ascii="Calibri" w:hAnsi="Calibri" w:cs="Calibri"/>
          <w:iCs/>
          <w:lang w:val="de-AT"/>
        </w:rPr>
        <w:t>Ulrich Winkler</w:t>
      </w:r>
    </w:p>
    <w:p w:rsidR="00F436F4" w:rsidRPr="00B42575" w:rsidRDefault="00F436F4" w:rsidP="00F436F4">
      <w:pPr>
        <w:pStyle w:val="Kopfzeile"/>
        <w:tabs>
          <w:tab w:val="clear" w:pos="4536"/>
          <w:tab w:val="clear" w:pos="9072"/>
          <w:tab w:val="left" w:pos="2835"/>
          <w:tab w:val="left" w:pos="7797"/>
        </w:tabs>
        <w:rPr>
          <w:rFonts w:ascii="Calibri" w:hAnsi="Calibri" w:cs="Calibri"/>
          <w:b/>
          <w:bCs/>
          <w:sz w:val="28"/>
          <w:lang w:val="de-AT"/>
        </w:rPr>
      </w:pPr>
      <w:r w:rsidRPr="00B42575">
        <w:rPr>
          <w:rFonts w:ascii="Calibri" w:hAnsi="Calibri" w:cs="Calibri"/>
          <w:b/>
          <w:bCs/>
          <w:sz w:val="28"/>
          <w:lang w:val="de-AT"/>
        </w:rPr>
        <w:t>Wege der Religionstheologie</w:t>
      </w:r>
    </w:p>
    <w:p w:rsidR="00F436F4" w:rsidRPr="00B02449" w:rsidRDefault="00F436F4" w:rsidP="00F436F4">
      <w:pPr>
        <w:pStyle w:val="Kopfzeile"/>
        <w:tabs>
          <w:tab w:val="clear" w:pos="4536"/>
          <w:tab w:val="clear" w:pos="9072"/>
          <w:tab w:val="left" w:pos="2835"/>
          <w:tab w:val="left" w:pos="7797"/>
        </w:tabs>
        <w:rPr>
          <w:rFonts w:ascii="Calibri" w:hAnsi="Calibri" w:cs="Calibri"/>
          <w:iCs/>
          <w:lang w:val="de-AT"/>
        </w:rPr>
      </w:pPr>
      <w:r w:rsidRPr="00B02449">
        <w:rPr>
          <w:rFonts w:ascii="Calibri" w:hAnsi="Calibri" w:cs="Calibri"/>
          <w:iCs/>
          <w:lang w:val="de-AT"/>
        </w:rPr>
        <w:t>Von der Erwählung zur komparativen Theologie</w:t>
      </w:r>
    </w:p>
    <w:p w:rsidR="00F436F4" w:rsidRPr="00AB4AAD" w:rsidRDefault="00F436F4" w:rsidP="00F436F4">
      <w:pPr>
        <w:tabs>
          <w:tab w:val="left" w:pos="2835"/>
          <w:tab w:val="left" w:pos="3420"/>
          <w:tab w:val="left" w:pos="7797"/>
        </w:tabs>
        <w:rPr>
          <w:rFonts w:ascii="Calibri" w:hAnsi="Calibri" w:cs="Calibri"/>
        </w:rPr>
      </w:pPr>
      <w:r w:rsidRPr="00AB4AAD">
        <w:rPr>
          <w:rFonts w:ascii="Calibri" w:hAnsi="Calibri" w:cs="Calibri"/>
        </w:rPr>
        <w:t xml:space="preserve">(Salzburger Theologische Studien </w:t>
      </w:r>
      <w:r>
        <w:rPr>
          <w:rFonts w:ascii="Calibri" w:hAnsi="Calibri" w:cs="Calibri"/>
        </w:rPr>
        <w:t xml:space="preserve">46 </w:t>
      </w:r>
      <w:r w:rsidRPr="00AB4AAD">
        <w:rPr>
          <w:rFonts w:ascii="Calibri" w:hAnsi="Calibri" w:cs="Calibri"/>
        </w:rPr>
        <w:t>– interkulturell</w:t>
      </w:r>
      <w:r>
        <w:rPr>
          <w:rFonts w:ascii="Calibri" w:hAnsi="Calibri" w:cs="Calibri"/>
        </w:rPr>
        <w:t xml:space="preserve"> 10</w:t>
      </w:r>
      <w:r w:rsidRPr="00AB4AAD">
        <w:rPr>
          <w:rFonts w:ascii="Calibri" w:hAnsi="Calibri" w:cs="Calibri"/>
        </w:rPr>
        <w:t>)</w:t>
      </w:r>
    </w:p>
    <w:p w:rsidR="00F436F4" w:rsidRDefault="002D4B82" w:rsidP="00F436F4">
      <w:pPr>
        <w:tabs>
          <w:tab w:val="left" w:pos="2835"/>
          <w:tab w:val="left" w:pos="3420"/>
          <w:tab w:val="left" w:pos="7797"/>
        </w:tabs>
        <w:rPr>
          <w:rFonts w:ascii="Calibri" w:hAnsi="Calibri" w:cs="Calibri"/>
          <w:i/>
          <w:iCs/>
        </w:rPr>
      </w:pPr>
      <w:r>
        <w:rPr>
          <w:rFonts w:ascii="Calibri" w:hAnsi="Calibri" w:cs="Calibri"/>
          <w:i/>
          <w:iCs/>
        </w:rPr>
        <w:t>482</w:t>
      </w:r>
      <w:r w:rsidR="00F436F4" w:rsidRPr="00AB4AAD">
        <w:rPr>
          <w:rFonts w:ascii="Calibri" w:hAnsi="Calibri" w:cs="Calibri"/>
          <w:i/>
          <w:iCs/>
        </w:rPr>
        <w:t xml:space="preserve"> Seiten, 15 x 22,5 cm, Broschur</w:t>
      </w:r>
    </w:p>
    <w:p w:rsidR="002D4B82" w:rsidRPr="00AB4AAD" w:rsidRDefault="002D4B82" w:rsidP="00F436F4">
      <w:pPr>
        <w:tabs>
          <w:tab w:val="left" w:pos="2835"/>
          <w:tab w:val="left" w:pos="3420"/>
          <w:tab w:val="left" w:pos="7797"/>
        </w:tabs>
        <w:rPr>
          <w:rFonts w:ascii="Calibri" w:hAnsi="Calibri" w:cs="Calibri"/>
          <w:i/>
          <w:iCs/>
        </w:rPr>
      </w:pPr>
      <w:r>
        <w:rPr>
          <w:rFonts w:ascii="Calibri" w:hAnsi="Calibri" w:cs="Calibri"/>
          <w:i/>
          <w:iCs/>
        </w:rPr>
        <w:t>Tyrolia-Verlag, Innsbruck-Wien 2013</w:t>
      </w:r>
    </w:p>
    <w:p w:rsidR="00F436F4" w:rsidRPr="00AB4AAD" w:rsidRDefault="00F436F4" w:rsidP="00F436F4">
      <w:pPr>
        <w:pStyle w:val="Kopfzeile"/>
        <w:tabs>
          <w:tab w:val="clear" w:pos="4536"/>
          <w:tab w:val="left" w:pos="2835"/>
          <w:tab w:val="left" w:pos="7797"/>
        </w:tabs>
        <w:rPr>
          <w:rFonts w:ascii="Calibri" w:hAnsi="Calibri" w:cs="Calibri"/>
          <w:i/>
          <w:iCs/>
        </w:rPr>
      </w:pPr>
      <w:r w:rsidRPr="00AB4AAD">
        <w:rPr>
          <w:rFonts w:ascii="Calibri" w:hAnsi="Calibri" w:cs="Calibri"/>
          <w:i/>
        </w:rPr>
        <w:t>ISBN 978-3-7022-</w:t>
      </w:r>
      <w:r w:rsidR="002D4B82">
        <w:rPr>
          <w:rFonts w:ascii="Calibri" w:hAnsi="Calibri" w:cs="Calibri"/>
          <w:i/>
        </w:rPr>
        <w:t>3191-0</w:t>
      </w:r>
    </w:p>
    <w:p w:rsidR="00F436F4" w:rsidRPr="002D4B82" w:rsidRDefault="00F436F4" w:rsidP="002D4B82">
      <w:pPr>
        <w:tabs>
          <w:tab w:val="left" w:pos="2835"/>
          <w:tab w:val="left" w:pos="3420"/>
          <w:tab w:val="left" w:pos="7797"/>
        </w:tabs>
        <w:rPr>
          <w:rFonts w:ascii="Calibri" w:hAnsi="Calibri" w:cs="Calibri"/>
          <w:i/>
          <w:iCs/>
        </w:rPr>
      </w:pPr>
      <w:r w:rsidRPr="007B2423">
        <w:rPr>
          <w:rFonts w:ascii="Calibri" w:hAnsi="Calibri" w:cs="Calibri"/>
          <w:i/>
          <w:iCs/>
        </w:rPr>
        <w:t xml:space="preserve"> € </w:t>
      </w:r>
      <w:r w:rsidR="002D4B82">
        <w:rPr>
          <w:rFonts w:ascii="Calibri" w:hAnsi="Calibri" w:cs="Calibri"/>
          <w:i/>
          <w:iCs/>
        </w:rPr>
        <w:t>29,80</w:t>
      </w:r>
      <w:r w:rsidRPr="007B2423">
        <w:rPr>
          <w:rFonts w:ascii="Calibri" w:hAnsi="Calibri" w:cs="Calibri"/>
          <w:i/>
          <w:iCs/>
        </w:rPr>
        <w:t xml:space="preserve"> </w:t>
      </w:r>
    </w:p>
    <w:p w:rsidR="007B2423" w:rsidRDefault="007B2423" w:rsidP="007B2423">
      <w:pPr>
        <w:pStyle w:val="Kopfzeile"/>
        <w:tabs>
          <w:tab w:val="clear" w:pos="4536"/>
          <w:tab w:val="clear" w:pos="9072"/>
          <w:tab w:val="left" w:pos="2835"/>
          <w:tab w:val="left" w:pos="7797"/>
        </w:tabs>
        <w:rPr>
          <w:rFonts w:ascii="Calibri" w:hAnsi="Calibri" w:cs="Calibri"/>
          <w:iCs/>
          <w:lang w:val="de-AT"/>
        </w:rPr>
      </w:pPr>
    </w:p>
    <w:p w:rsidR="002D4B82" w:rsidRPr="007B2423" w:rsidRDefault="002D4B82" w:rsidP="007B2423">
      <w:pPr>
        <w:pStyle w:val="Kopfzeile"/>
        <w:tabs>
          <w:tab w:val="clear" w:pos="4536"/>
          <w:tab w:val="clear" w:pos="9072"/>
          <w:tab w:val="left" w:pos="2835"/>
          <w:tab w:val="left" w:pos="7797"/>
        </w:tabs>
        <w:rPr>
          <w:rFonts w:ascii="Calibri" w:hAnsi="Calibri" w:cs="Calibri"/>
          <w:iCs/>
          <w:lang w:val="de-AT"/>
        </w:rPr>
      </w:pPr>
    </w:p>
    <w:p w:rsidR="00F436F4" w:rsidRPr="002D4B82" w:rsidRDefault="007B2423" w:rsidP="007B2423">
      <w:pPr>
        <w:pStyle w:val="Kopfzeile"/>
        <w:tabs>
          <w:tab w:val="clear" w:pos="4536"/>
          <w:tab w:val="clear" w:pos="9072"/>
          <w:tab w:val="left" w:pos="2835"/>
          <w:tab w:val="left" w:pos="7797"/>
        </w:tabs>
        <w:rPr>
          <w:rFonts w:ascii="Calibri" w:hAnsi="Calibri" w:cs="Calibri"/>
          <w:b/>
          <w:iCs/>
          <w:sz w:val="28"/>
          <w:szCs w:val="28"/>
          <w:lang w:val="de-AT"/>
        </w:rPr>
      </w:pPr>
      <w:r w:rsidRPr="002D4B82">
        <w:rPr>
          <w:rFonts w:ascii="Calibri" w:hAnsi="Calibri" w:cs="Calibri"/>
          <w:b/>
          <w:iCs/>
          <w:sz w:val="28"/>
          <w:szCs w:val="28"/>
          <w:lang w:val="de-AT"/>
        </w:rPr>
        <w:t>Zur Stellung der Religionstheologie im Rahmen zeitgemäßer Theologie</w:t>
      </w:r>
    </w:p>
    <w:p w:rsidR="007B2423" w:rsidRPr="007B2423" w:rsidRDefault="007B2423" w:rsidP="007B2423">
      <w:pPr>
        <w:pStyle w:val="Kopfzeile"/>
        <w:tabs>
          <w:tab w:val="clear" w:pos="4536"/>
          <w:tab w:val="clear" w:pos="9072"/>
          <w:tab w:val="left" w:pos="2835"/>
          <w:tab w:val="left" w:pos="7797"/>
        </w:tabs>
        <w:rPr>
          <w:rFonts w:ascii="Calibri" w:hAnsi="Calibri" w:cs="Calibri"/>
          <w:iCs/>
          <w:lang w:val="de-AT"/>
        </w:rPr>
      </w:pPr>
    </w:p>
    <w:p w:rsidR="007B2423" w:rsidRPr="007B2423" w:rsidRDefault="00F436F4" w:rsidP="007B2423">
      <w:pPr>
        <w:pStyle w:val="Kopfzeile"/>
        <w:tabs>
          <w:tab w:val="clear" w:pos="4536"/>
          <w:tab w:val="clear" w:pos="9072"/>
          <w:tab w:val="left" w:pos="2835"/>
          <w:tab w:val="left" w:pos="7797"/>
        </w:tabs>
        <w:rPr>
          <w:rFonts w:ascii="Calibri" w:hAnsi="Calibri" w:cs="Calibri"/>
          <w:iCs/>
          <w:lang w:val="de-AT"/>
        </w:rPr>
      </w:pPr>
      <w:r w:rsidRPr="007B2423">
        <w:rPr>
          <w:rFonts w:ascii="Calibri" w:hAnsi="Calibri" w:cs="Calibri"/>
          <w:iCs/>
          <w:lang w:val="de-AT"/>
        </w:rPr>
        <w:t xml:space="preserve">Die Wege der Religionstheologie führen zu den Schauplätzen ihrer Reflexionsformen und Handlungsfelder. Die besuchten Erkenntnisorte tragen die Problemsignaturen unserer Zeit kultureller und religiöser Pluralität. Die Religionstheologie ist kein vernachlässigbarer Nischendiskurs oder eine lästige Modeerscheinung, die Pluralität anderen religiösen Glaubens bildet </w:t>
      </w:r>
      <w:r w:rsidR="007B2423">
        <w:rPr>
          <w:rFonts w:ascii="Calibri" w:hAnsi="Calibri" w:cs="Calibri"/>
          <w:iCs/>
          <w:lang w:val="de-AT"/>
        </w:rPr>
        <w:t xml:space="preserve">vielmehr </w:t>
      </w:r>
      <w:r w:rsidRPr="007B2423">
        <w:rPr>
          <w:rFonts w:ascii="Calibri" w:hAnsi="Calibri" w:cs="Calibri"/>
          <w:iCs/>
          <w:lang w:val="de-AT"/>
        </w:rPr>
        <w:t xml:space="preserve">einen unausweichlichen Verantwortungshorizont der gesamten gegenwärtigen Theologie. </w:t>
      </w:r>
    </w:p>
    <w:p w:rsidR="007B2423" w:rsidRPr="007B2423" w:rsidRDefault="00F436F4" w:rsidP="007B2423">
      <w:pPr>
        <w:pStyle w:val="Kopfzeile"/>
        <w:tabs>
          <w:tab w:val="clear" w:pos="4536"/>
          <w:tab w:val="clear" w:pos="9072"/>
          <w:tab w:val="left" w:pos="2835"/>
          <w:tab w:val="left" w:pos="7797"/>
        </w:tabs>
        <w:rPr>
          <w:rFonts w:ascii="Calibri" w:hAnsi="Calibri" w:cs="Calibri"/>
          <w:iCs/>
          <w:lang w:val="de-AT"/>
        </w:rPr>
      </w:pPr>
      <w:r w:rsidRPr="007B2423">
        <w:rPr>
          <w:rFonts w:ascii="Calibri" w:hAnsi="Calibri" w:cs="Calibri"/>
          <w:iCs/>
          <w:lang w:val="de-AT"/>
        </w:rPr>
        <w:t xml:space="preserve">Die theologische Denkfigur einer falsch verstanden Erwählung hat bisweilen die Exklusivität des Eigenen gestützt. Gottes Erwählen aber ist vielmehr konkretes Handeln unter den Bedingungen je konkreter Geschichte und drängt auf universale Entgrenzung und Überschreitung. Umkehr ist nötig: Die Juden sind nicht verworfen, und unter den anderen Religionen gibt es Wahrheit, Heiligkeit und Gaben des Heiligen Geistes, sagt das Zweite Vatikanische Konzil. </w:t>
      </w:r>
    </w:p>
    <w:p w:rsidR="00F436F4" w:rsidRPr="007B2423" w:rsidRDefault="00F436F4" w:rsidP="007B2423">
      <w:pPr>
        <w:pStyle w:val="Kopfzeile"/>
        <w:tabs>
          <w:tab w:val="clear" w:pos="4536"/>
          <w:tab w:val="clear" w:pos="9072"/>
          <w:tab w:val="left" w:pos="2835"/>
          <w:tab w:val="left" w:pos="7797"/>
        </w:tabs>
        <w:rPr>
          <w:rFonts w:ascii="Calibri" w:hAnsi="Calibri" w:cs="Calibri"/>
          <w:iCs/>
          <w:lang w:val="de-AT"/>
        </w:rPr>
      </w:pPr>
      <w:r w:rsidRPr="007B2423">
        <w:rPr>
          <w:rFonts w:ascii="Calibri" w:hAnsi="Calibri" w:cs="Calibri"/>
          <w:iCs/>
          <w:lang w:val="de-AT"/>
        </w:rPr>
        <w:t xml:space="preserve">Das Herzstück der </w:t>
      </w:r>
      <w:r w:rsidR="007B2423" w:rsidRPr="007B2423">
        <w:rPr>
          <w:rFonts w:ascii="Calibri" w:hAnsi="Calibri" w:cs="Calibri"/>
          <w:iCs/>
          <w:lang w:val="de-AT"/>
        </w:rPr>
        <w:t xml:space="preserve">vorliegenden </w:t>
      </w:r>
      <w:r w:rsidRPr="007B2423">
        <w:rPr>
          <w:rFonts w:ascii="Calibri" w:hAnsi="Calibri" w:cs="Calibri"/>
          <w:iCs/>
          <w:lang w:val="de-AT"/>
        </w:rPr>
        <w:t>Arbeit liegt in der Verschränkung von Israeltheologie und Religionstheologie. Die Klammer wird eröffnet mit einer diskurs- und wissenschaftspolitischen Positionierung von Theologie interkulturell und mündet in die theologische Zukunftsperspektive einer komparativen Theologie und einer spirituellen Fundierung theologischen Reflektierens.</w:t>
      </w:r>
    </w:p>
    <w:p w:rsidR="009856A9" w:rsidRPr="000A31A4" w:rsidRDefault="009856A9" w:rsidP="000A31A4">
      <w:pPr>
        <w:rPr>
          <w:rFonts w:asciiTheme="minorHAnsi" w:hAnsiTheme="minorHAnsi" w:cstheme="minorHAnsi"/>
        </w:rPr>
      </w:pPr>
    </w:p>
    <w:p w:rsidR="009856A9" w:rsidRPr="00561A3C" w:rsidRDefault="00F436F4" w:rsidP="00561A3C">
      <w:pPr>
        <w:rPr>
          <w:rFonts w:asciiTheme="minorHAnsi" w:hAnsiTheme="minorHAnsi" w:cstheme="minorHAnsi"/>
          <w:i/>
        </w:rPr>
      </w:pPr>
      <w:r>
        <w:rPr>
          <w:rFonts w:asciiTheme="minorHAnsi" w:hAnsiTheme="minorHAnsi" w:cstheme="minorHAnsi"/>
          <w:i/>
        </w:rPr>
        <w:t>Der Autor:</w:t>
      </w:r>
    </w:p>
    <w:p w:rsidR="000A31A4" w:rsidRPr="00B0701A" w:rsidRDefault="00B0701A" w:rsidP="000A31A4">
      <w:pPr>
        <w:spacing w:line="300" w:lineRule="atLeast"/>
        <w:rPr>
          <w:rFonts w:ascii="Calibri" w:hAnsi="Calibri" w:cs="Calibri"/>
          <w:szCs w:val="20"/>
        </w:rPr>
      </w:pPr>
      <w:r w:rsidRPr="00B0701A">
        <w:rPr>
          <w:rFonts w:ascii="Calibri" w:hAnsi="Calibri" w:cs="Calibri"/>
          <w:smallCaps/>
          <w:szCs w:val="20"/>
        </w:rPr>
        <w:t>Ulrich Winkler</w:t>
      </w:r>
      <w:r>
        <w:rPr>
          <w:rFonts w:ascii="Calibri" w:hAnsi="Calibri" w:cs="Calibri"/>
          <w:szCs w:val="20"/>
        </w:rPr>
        <w:t xml:space="preserve">, </w:t>
      </w:r>
      <w:proofErr w:type="spellStart"/>
      <w:r w:rsidRPr="00B0701A">
        <w:rPr>
          <w:rFonts w:ascii="Calibri" w:hAnsi="Calibri" w:cs="Calibri"/>
          <w:szCs w:val="20"/>
        </w:rPr>
        <w:t>Ao</w:t>
      </w:r>
      <w:proofErr w:type="spellEnd"/>
      <w:r w:rsidRPr="00B0701A">
        <w:rPr>
          <w:rFonts w:ascii="Calibri" w:hAnsi="Calibri" w:cs="Calibri"/>
          <w:szCs w:val="20"/>
        </w:rPr>
        <w:t>. Univ.‐</w:t>
      </w:r>
      <w:r>
        <w:rPr>
          <w:rFonts w:ascii="Calibri" w:hAnsi="Calibri" w:cs="Calibri"/>
          <w:szCs w:val="20"/>
        </w:rPr>
        <w:t>Prof. Dr.</w:t>
      </w:r>
      <w:r w:rsidRPr="00B0701A">
        <w:rPr>
          <w:rFonts w:ascii="Calibri" w:hAnsi="Calibri" w:cs="Calibri"/>
          <w:szCs w:val="20"/>
        </w:rPr>
        <w:t xml:space="preserve"> ist Gründungsmitglied und stellvertretender Leiter des Zentrums Theologie Interkulturell und Studium der Religionen der Universität Salzburg und lehrt Dogmatik und Religionstheologie an der Universität Salzburg.</w:t>
      </w:r>
    </w:p>
    <w:sectPr w:rsidR="000A31A4" w:rsidRPr="00B0701A">
      <w:headerReference w:type="even" r:id="rId9"/>
      <w:headerReference w:type="default" r:id="rId10"/>
      <w:footerReference w:type="even" r:id="rId11"/>
      <w:footerReference w:type="default" r:id="rId12"/>
      <w:headerReference w:type="first" r:id="rId13"/>
      <w:footerReference w:type="first" r:id="rId14"/>
      <w:pgSz w:w="11906" w:h="16838"/>
      <w:pgMar w:top="1417" w:right="1700" w:bottom="1418" w:left="1417" w:header="72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5FA" w:rsidRDefault="00DE25FA">
      <w:r>
        <w:separator/>
      </w:r>
    </w:p>
  </w:endnote>
  <w:endnote w:type="continuationSeparator" w:id="0">
    <w:p w:rsidR="00DE25FA" w:rsidRDefault="00DE2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10" w:rsidRDefault="00D8631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10" w:rsidRDefault="00D86310">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10" w:rsidRDefault="00D8631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5FA" w:rsidRDefault="00DE25FA">
      <w:r>
        <w:separator/>
      </w:r>
    </w:p>
  </w:footnote>
  <w:footnote w:type="continuationSeparator" w:id="0">
    <w:p w:rsidR="00DE25FA" w:rsidRDefault="00DE25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10" w:rsidRDefault="00D86310">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6F4" w:rsidRDefault="00F436F4">
    <w:pPr>
      <w:pStyle w:val="berschrift3"/>
      <w:jc w:val="left"/>
    </w:pPr>
  </w:p>
  <w:p w:rsidR="00F436F4" w:rsidRDefault="00F436F4">
    <w:pPr>
      <w:pStyle w:val="berschrift3"/>
      <w:jc w:val="left"/>
    </w:pPr>
  </w:p>
  <w:p w:rsidR="00F436F4" w:rsidRPr="002D4B82" w:rsidRDefault="00F436F4">
    <w:pPr>
      <w:pStyle w:val="berschrift3"/>
      <w:jc w:val="left"/>
      <w:rPr>
        <w:rFonts w:asciiTheme="minorHAnsi" w:hAnsiTheme="minorHAnsi" w:cstheme="minorHAnsi"/>
        <w:szCs w:val="36"/>
      </w:rPr>
    </w:pPr>
    <w:r w:rsidRPr="002D4B82">
      <w:rPr>
        <w:rFonts w:asciiTheme="minorHAnsi" w:hAnsiTheme="minorHAnsi" w:cstheme="minorHAnsi"/>
        <w:szCs w:val="36"/>
      </w:rPr>
      <w:t xml:space="preserve">Tyrolia-Verlag ·  </w:t>
    </w:r>
    <w:r w:rsidRPr="00D86310">
      <w:rPr>
        <w:rFonts w:asciiTheme="minorHAnsi" w:hAnsiTheme="minorHAnsi" w:cstheme="minorHAnsi"/>
        <w:sz w:val="24"/>
        <w:szCs w:val="24"/>
      </w:rPr>
      <w:t>Innsbru</w:t>
    </w:r>
    <w:bookmarkStart w:id="0" w:name="_GoBack"/>
    <w:bookmarkEnd w:id="0"/>
    <w:r w:rsidRPr="00D86310">
      <w:rPr>
        <w:rFonts w:asciiTheme="minorHAnsi" w:hAnsiTheme="minorHAnsi" w:cstheme="minorHAnsi"/>
        <w:sz w:val="24"/>
        <w:szCs w:val="24"/>
      </w:rPr>
      <w:t>ck-Wien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10" w:rsidRDefault="00D8631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6A9"/>
    <w:rsid w:val="000A31A4"/>
    <w:rsid w:val="000D6523"/>
    <w:rsid w:val="0011169D"/>
    <w:rsid w:val="001341E0"/>
    <w:rsid w:val="00154EAF"/>
    <w:rsid w:val="00167F5C"/>
    <w:rsid w:val="00226AC2"/>
    <w:rsid w:val="00241BD3"/>
    <w:rsid w:val="002D4B82"/>
    <w:rsid w:val="00336414"/>
    <w:rsid w:val="003D1C70"/>
    <w:rsid w:val="00450838"/>
    <w:rsid w:val="004A210D"/>
    <w:rsid w:val="00561A3C"/>
    <w:rsid w:val="0061350D"/>
    <w:rsid w:val="006838A6"/>
    <w:rsid w:val="006B5FC0"/>
    <w:rsid w:val="006F4FEA"/>
    <w:rsid w:val="007358DF"/>
    <w:rsid w:val="00752F15"/>
    <w:rsid w:val="007B2423"/>
    <w:rsid w:val="008621E4"/>
    <w:rsid w:val="00952AD5"/>
    <w:rsid w:val="009856A9"/>
    <w:rsid w:val="009A10B4"/>
    <w:rsid w:val="009C59C8"/>
    <w:rsid w:val="009E491F"/>
    <w:rsid w:val="00B0701A"/>
    <w:rsid w:val="00B36F8C"/>
    <w:rsid w:val="00B751D7"/>
    <w:rsid w:val="00C358F6"/>
    <w:rsid w:val="00D177A9"/>
    <w:rsid w:val="00D86310"/>
    <w:rsid w:val="00DE25FA"/>
    <w:rsid w:val="00F436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0A31A4"/>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paragraph" w:styleId="StandardWeb">
    <w:name w:val="Normal (Web)"/>
    <w:basedOn w:val="Standard"/>
    <w:uiPriority w:val="99"/>
    <w:semiHidden/>
    <w:unhideWhenUsed/>
    <w:rsid w:val="00167F5C"/>
    <w:pPr>
      <w:spacing w:before="120" w:after="120" w:line="300" w:lineRule="atLeast"/>
    </w:pPr>
    <w:rPr>
      <w:lang w:val="de-AT" w:eastAsia="de-AT"/>
    </w:rPr>
  </w:style>
  <w:style w:type="character" w:customStyle="1" w:styleId="fliessfett1">
    <w:name w:val="fliess_fett1"/>
    <w:basedOn w:val="Absatz-Standardschriftart"/>
    <w:rsid w:val="00167F5C"/>
    <w:rPr>
      <w:b/>
      <w:bCs/>
    </w:rPr>
  </w:style>
  <w:style w:type="character" w:customStyle="1" w:styleId="berschrift8Zchn">
    <w:name w:val="Überschrift 8 Zchn"/>
    <w:basedOn w:val="Absatz-Standardschriftart"/>
    <w:link w:val="berschrift8"/>
    <w:uiPriority w:val="9"/>
    <w:semiHidden/>
    <w:rsid w:val="000A31A4"/>
    <w:rPr>
      <w:rFonts w:asciiTheme="majorHAnsi" w:eastAsiaTheme="majorEastAsia" w:hAnsiTheme="majorHAnsi" w:cstheme="majorBidi"/>
      <w:color w:val="404040" w:themeColor="text1" w:themeTint="BF"/>
      <w:sz w:val="20"/>
      <w:szCs w:val="20"/>
      <w:lang w:eastAsia="de-DE"/>
    </w:rPr>
  </w:style>
  <w:style w:type="paragraph" w:customStyle="1" w:styleId="schriftarial11">
    <w:name w:val="schriftarial11"/>
    <w:basedOn w:val="Standard"/>
    <w:rsid w:val="00B0701A"/>
    <w:pPr>
      <w:spacing w:before="100" w:beforeAutospacing="1" w:after="100" w:afterAutospacing="1"/>
    </w:pPr>
    <w:rPr>
      <w:rFonts w:eastAsiaTheme="minorHAnsi"/>
      <w:lang w:val="de-AT" w:eastAsia="de-AT"/>
    </w:rPr>
  </w:style>
  <w:style w:type="character" w:styleId="Fett">
    <w:name w:val="Strong"/>
    <w:basedOn w:val="Absatz-Standardschriftart"/>
    <w:uiPriority w:val="22"/>
    <w:qFormat/>
    <w:rsid w:val="00B0701A"/>
    <w:rPr>
      <w:b/>
      <w:bCs/>
    </w:rPr>
  </w:style>
  <w:style w:type="character" w:styleId="Hervorhebung">
    <w:name w:val="Emphasis"/>
    <w:basedOn w:val="Absatz-Standardschriftart"/>
    <w:uiPriority w:val="20"/>
    <w:qFormat/>
    <w:rsid w:val="00F436F4"/>
    <w:rPr>
      <w:rFonts w:ascii="Times New Roman" w:hAnsi="Times New Roman" w:cs="Times New Roman" w:hint="default"/>
      <w:i/>
      <w:iCs/>
    </w:rPr>
  </w:style>
  <w:style w:type="paragraph" w:styleId="Listenabsatz">
    <w:name w:val="List Paragraph"/>
    <w:basedOn w:val="Standard"/>
    <w:uiPriority w:val="34"/>
    <w:qFormat/>
    <w:rsid w:val="00F436F4"/>
    <w:pPr>
      <w:ind w:left="720"/>
    </w:pPr>
    <w:rPr>
      <w:lang w:val="de-AT" w:eastAsia="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0A31A4"/>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paragraph" w:styleId="StandardWeb">
    <w:name w:val="Normal (Web)"/>
    <w:basedOn w:val="Standard"/>
    <w:uiPriority w:val="99"/>
    <w:semiHidden/>
    <w:unhideWhenUsed/>
    <w:rsid w:val="00167F5C"/>
    <w:pPr>
      <w:spacing w:before="120" w:after="120" w:line="300" w:lineRule="atLeast"/>
    </w:pPr>
    <w:rPr>
      <w:lang w:val="de-AT" w:eastAsia="de-AT"/>
    </w:rPr>
  </w:style>
  <w:style w:type="character" w:customStyle="1" w:styleId="fliessfett1">
    <w:name w:val="fliess_fett1"/>
    <w:basedOn w:val="Absatz-Standardschriftart"/>
    <w:rsid w:val="00167F5C"/>
    <w:rPr>
      <w:b/>
      <w:bCs/>
    </w:rPr>
  </w:style>
  <w:style w:type="character" w:customStyle="1" w:styleId="berschrift8Zchn">
    <w:name w:val="Überschrift 8 Zchn"/>
    <w:basedOn w:val="Absatz-Standardschriftart"/>
    <w:link w:val="berschrift8"/>
    <w:uiPriority w:val="9"/>
    <w:semiHidden/>
    <w:rsid w:val="000A31A4"/>
    <w:rPr>
      <w:rFonts w:asciiTheme="majorHAnsi" w:eastAsiaTheme="majorEastAsia" w:hAnsiTheme="majorHAnsi" w:cstheme="majorBidi"/>
      <w:color w:val="404040" w:themeColor="text1" w:themeTint="BF"/>
      <w:sz w:val="20"/>
      <w:szCs w:val="20"/>
      <w:lang w:eastAsia="de-DE"/>
    </w:rPr>
  </w:style>
  <w:style w:type="paragraph" w:customStyle="1" w:styleId="schriftarial11">
    <w:name w:val="schriftarial11"/>
    <w:basedOn w:val="Standard"/>
    <w:rsid w:val="00B0701A"/>
    <w:pPr>
      <w:spacing w:before="100" w:beforeAutospacing="1" w:after="100" w:afterAutospacing="1"/>
    </w:pPr>
    <w:rPr>
      <w:rFonts w:eastAsiaTheme="minorHAnsi"/>
      <w:lang w:val="de-AT" w:eastAsia="de-AT"/>
    </w:rPr>
  </w:style>
  <w:style w:type="character" w:styleId="Fett">
    <w:name w:val="Strong"/>
    <w:basedOn w:val="Absatz-Standardschriftart"/>
    <w:uiPriority w:val="22"/>
    <w:qFormat/>
    <w:rsid w:val="00B0701A"/>
    <w:rPr>
      <w:b/>
      <w:bCs/>
    </w:rPr>
  </w:style>
  <w:style w:type="character" w:styleId="Hervorhebung">
    <w:name w:val="Emphasis"/>
    <w:basedOn w:val="Absatz-Standardschriftart"/>
    <w:uiPriority w:val="20"/>
    <w:qFormat/>
    <w:rsid w:val="00F436F4"/>
    <w:rPr>
      <w:rFonts w:ascii="Times New Roman" w:hAnsi="Times New Roman" w:cs="Times New Roman" w:hint="default"/>
      <w:i/>
      <w:iCs/>
    </w:rPr>
  </w:style>
  <w:style w:type="paragraph" w:styleId="Listenabsatz">
    <w:name w:val="List Paragraph"/>
    <w:basedOn w:val="Standard"/>
    <w:uiPriority w:val="34"/>
    <w:qFormat/>
    <w:rsid w:val="00F436F4"/>
    <w:pPr>
      <w:ind w:left="720"/>
    </w:pPr>
    <w:rPr>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963195">
      <w:bodyDiv w:val="1"/>
      <w:marLeft w:val="0"/>
      <w:marRight w:val="0"/>
      <w:marTop w:val="0"/>
      <w:marBottom w:val="0"/>
      <w:divBdr>
        <w:top w:val="none" w:sz="0" w:space="0" w:color="auto"/>
        <w:left w:val="none" w:sz="0" w:space="0" w:color="auto"/>
        <w:bottom w:val="none" w:sz="0" w:space="0" w:color="auto"/>
        <w:right w:val="none" w:sz="0" w:space="0" w:color="auto"/>
      </w:divBdr>
    </w:div>
    <w:div w:id="819736108">
      <w:bodyDiv w:val="1"/>
      <w:marLeft w:val="0"/>
      <w:marRight w:val="0"/>
      <w:marTop w:val="0"/>
      <w:marBottom w:val="0"/>
      <w:divBdr>
        <w:top w:val="none" w:sz="0" w:space="0" w:color="auto"/>
        <w:left w:val="none" w:sz="0" w:space="0" w:color="auto"/>
        <w:bottom w:val="none" w:sz="0" w:space="0" w:color="auto"/>
        <w:right w:val="none" w:sz="0" w:space="0" w:color="auto"/>
      </w:divBdr>
    </w:div>
    <w:div w:id="1803424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255</Words>
  <Characters>1609</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1861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Steger Brunhilde</dc:creator>
  <cp:keywords/>
  <dc:description/>
  <cp:lastModifiedBy>IT</cp:lastModifiedBy>
  <cp:revision>5</cp:revision>
  <cp:lastPrinted>2012-04-13T15:03:00Z</cp:lastPrinted>
  <dcterms:created xsi:type="dcterms:W3CDTF">2012-04-17T10:15:00Z</dcterms:created>
  <dcterms:modified xsi:type="dcterms:W3CDTF">2013-03-12T17:34:00Z</dcterms:modified>
</cp:coreProperties>
</file>