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B5175B" w14:textId="650181DF" w:rsidR="00EB4ACB" w:rsidRPr="00FC56AB" w:rsidRDefault="00FC56AB">
      <w:pPr>
        <w:rPr>
          <w:rFonts w:asciiTheme="minorHAnsi" w:hAnsiTheme="minorHAnsi"/>
          <w:szCs w:val="28"/>
        </w:rPr>
      </w:pPr>
      <w:r w:rsidRPr="007E2C06">
        <w:rPr>
          <w:rFonts w:asciiTheme="minorHAnsi" w:hAnsiTheme="minorHAnsi"/>
          <w:noProof/>
          <w:lang w:val="de-AT" w:eastAsia="de-AT"/>
        </w:rPr>
        <w:drawing>
          <wp:anchor distT="0" distB="0" distL="114935" distR="114935" simplePos="0" relativeHeight="251657728" behindDoc="0" locked="0" layoutInCell="1" allowOverlap="1" wp14:anchorId="7DACA1C0" wp14:editId="30B32E3C">
            <wp:simplePos x="0" y="0"/>
            <wp:positionH relativeFrom="column">
              <wp:posOffset>3255010</wp:posOffset>
            </wp:positionH>
            <wp:positionV relativeFrom="paragraph">
              <wp:posOffset>-46355</wp:posOffset>
            </wp:positionV>
            <wp:extent cx="2819400" cy="3620770"/>
            <wp:effectExtent l="57150" t="19050" r="57150" b="9398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2819400" cy="3620770"/>
                    </a:xfrm>
                    <a:prstGeom prst="rect">
                      <a:avLst/>
                    </a:prstGeom>
                    <a:solidFill>
                      <a:srgbClr val="FFFFFF"/>
                    </a:solid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64DCEFC" w14:textId="77777777" w:rsidR="00EB4ACB" w:rsidRPr="00FC56AB" w:rsidRDefault="007E2C06">
      <w:pPr>
        <w:tabs>
          <w:tab w:val="left" w:pos="7797"/>
        </w:tabs>
        <w:ind w:right="850"/>
        <w:rPr>
          <w:rFonts w:asciiTheme="minorHAnsi" w:hAnsiTheme="minorHAnsi"/>
          <w:szCs w:val="28"/>
        </w:rPr>
      </w:pPr>
      <w:r w:rsidRPr="00FC56AB">
        <w:rPr>
          <w:rFonts w:asciiTheme="minorHAnsi" w:hAnsiTheme="minorHAnsi"/>
          <w:szCs w:val="28"/>
        </w:rPr>
        <w:t>Christine Hubka |</w:t>
      </w:r>
      <w:r w:rsidR="00EB4ACB" w:rsidRPr="00FC56AB">
        <w:rPr>
          <w:rFonts w:asciiTheme="minorHAnsi" w:hAnsiTheme="minorHAnsi"/>
          <w:szCs w:val="28"/>
        </w:rPr>
        <w:t xml:space="preserve"> Nina Hammerle</w:t>
      </w:r>
    </w:p>
    <w:p w14:paraId="420A539E" w14:textId="77777777" w:rsidR="00EB4ACB" w:rsidRPr="00FC56AB" w:rsidRDefault="00EB4ACB">
      <w:pPr>
        <w:pStyle w:val="berschrift8"/>
        <w:rPr>
          <w:rFonts w:asciiTheme="minorHAnsi" w:hAnsiTheme="minorHAnsi"/>
          <w:sz w:val="32"/>
          <w:szCs w:val="32"/>
        </w:rPr>
      </w:pPr>
      <w:r w:rsidRPr="00FC56AB">
        <w:rPr>
          <w:rFonts w:asciiTheme="minorHAnsi" w:hAnsiTheme="minorHAnsi"/>
          <w:sz w:val="32"/>
          <w:szCs w:val="32"/>
        </w:rPr>
        <w:t>Wo die Toten zu Hause sind</w:t>
      </w:r>
    </w:p>
    <w:p w14:paraId="12BAFE90" w14:textId="77777777" w:rsidR="00EB4ACB" w:rsidRDefault="00EB4ACB">
      <w:pPr>
        <w:pStyle w:val="Textkrper21"/>
        <w:ind w:right="0"/>
        <w:rPr>
          <w:rFonts w:asciiTheme="minorHAnsi" w:hAnsiTheme="minorHAnsi"/>
        </w:rPr>
      </w:pPr>
    </w:p>
    <w:p w14:paraId="54B0AB53" w14:textId="77777777" w:rsidR="00FC56AB" w:rsidRPr="007E2C06" w:rsidRDefault="00FC56AB">
      <w:pPr>
        <w:pStyle w:val="Textkrper21"/>
        <w:ind w:right="0"/>
        <w:rPr>
          <w:rFonts w:asciiTheme="minorHAnsi" w:hAnsiTheme="minorHAnsi"/>
        </w:rPr>
      </w:pPr>
    </w:p>
    <w:p w14:paraId="18A97B6D" w14:textId="77777777" w:rsidR="007E2C06" w:rsidRPr="000F5528" w:rsidRDefault="00EB4ACB">
      <w:pPr>
        <w:pStyle w:val="Textkrper21"/>
        <w:ind w:right="0"/>
        <w:rPr>
          <w:rFonts w:asciiTheme="minorHAnsi" w:hAnsiTheme="minorHAnsi"/>
          <w:i/>
          <w:sz w:val="22"/>
          <w:szCs w:val="22"/>
        </w:rPr>
      </w:pPr>
      <w:r w:rsidRPr="000F5528">
        <w:rPr>
          <w:rFonts w:asciiTheme="minorHAnsi" w:hAnsiTheme="minorHAnsi"/>
          <w:i/>
          <w:sz w:val="22"/>
          <w:szCs w:val="22"/>
        </w:rPr>
        <w:t>32 Seiten</w:t>
      </w:r>
      <w:r w:rsidR="007E2C06" w:rsidRPr="000F5528">
        <w:rPr>
          <w:rFonts w:asciiTheme="minorHAnsi" w:hAnsiTheme="minorHAnsi"/>
          <w:i/>
          <w:sz w:val="22"/>
          <w:szCs w:val="22"/>
        </w:rPr>
        <w:t>,</w:t>
      </w:r>
      <w:r w:rsidRPr="000F5528">
        <w:rPr>
          <w:rFonts w:asciiTheme="minorHAnsi" w:hAnsiTheme="minorHAnsi"/>
          <w:i/>
          <w:sz w:val="22"/>
          <w:szCs w:val="22"/>
        </w:rPr>
        <w:t xml:space="preserve"> durchgehend farb</w:t>
      </w:r>
      <w:r w:rsidR="007E2C06" w:rsidRPr="000F5528">
        <w:rPr>
          <w:rFonts w:asciiTheme="minorHAnsi" w:hAnsiTheme="minorHAnsi"/>
          <w:i/>
          <w:sz w:val="22"/>
          <w:szCs w:val="22"/>
        </w:rPr>
        <w:t>ig illustriert</w:t>
      </w:r>
    </w:p>
    <w:p w14:paraId="38F0CA22" w14:textId="77777777" w:rsidR="00EB4ACB" w:rsidRPr="000F5528" w:rsidRDefault="00EB4ACB">
      <w:pPr>
        <w:pStyle w:val="Textkrper21"/>
        <w:ind w:right="0"/>
        <w:rPr>
          <w:rFonts w:asciiTheme="minorHAnsi" w:hAnsiTheme="minorHAnsi"/>
          <w:i/>
          <w:sz w:val="22"/>
          <w:szCs w:val="22"/>
        </w:rPr>
      </w:pPr>
      <w:r w:rsidRPr="000F5528">
        <w:rPr>
          <w:rFonts w:asciiTheme="minorHAnsi" w:hAnsiTheme="minorHAnsi"/>
          <w:i/>
          <w:sz w:val="22"/>
          <w:szCs w:val="22"/>
        </w:rPr>
        <w:t>27 x 21 cm, geb</w:t>
      </w:r>
      <w:r w:rsidR="007E2C06" w:rsidRPr="000F5528">
        <w:rPr>
          <w:rFonts w:asciiTheme="minorHAnsi" w:hAnsiTheme="minorHAnsi"/>
          <w:i/>
          <w:sz w:val="22"/>
          <w:szCs w:val="22"/>
        </w:rPr>
        <w:t>unden</w:t>
      </w:r>
    </w:p>
    <w:p w14:paraId="4831CA71" w14:textId="67CACB08" w:rsidR="007E2C06" w:rsidRPr="000F5528" w:rsidRDefault="007E2C06" w:rsidP="000F5528">
      <w:pPr>
        <w:pStyle w:val="Textkrper21"/>
        <w:ind w:right="0"/>
        <w:rPr>
          <w:rFonts w:asciiTheme="minorHAnsi" w:hAnsiTheme="minorHAnsi"/>
          <w:i/>
          <w:sz w:val="22"/>
          <w:szCs w:val="22"/>
        </w:rPr>
      </w:pPr>
      <w:r w:rsidRPr="000F5528">
        <w:rPr>
          <w:rFonts w:ascii="Calibri" w:hAnsi="Calibri"/>
          <w:i/>
          <w:sz w:val="22"/>
          <w:szCs w:val="22"/>
        </w:rPr>
        <w:t>Tyrolia-Verlag, Innsbruck–Wien</w:t>
      </w:r>
      <w:r w:rsidR="00E134A6" w:rsidRPr="000F5528">
        <w:rPr>
          <w:rFonts w:ascii="Calibri" w:hAnsi="Calibri"/>
          <w:i/>
          <w:sz w:val="22"/>
          <w:szCs w:val="22"/>
        </w:rPr>
        <w:t xml:space="preserve"> 2012</w:t>
      </w:r>
      <w:r w:rsidR="000F5528">
        <w:rPr>
          <w:rFonts w:ascii="Calibri" w:hAnsi="Calibri"/>
          <w:i/>
          <w:sz w:val="22"/>
          <w:szCs w:val="22"/>
        </w:rPr>
        <w:t xml:space="preserve">, </w:t>
      </w:r>
      <w:r w:rsidR="00FC56AB" w:rsidRPr="000F5528">
        <w:rPr>
          <w:rFonts w:ascii="Calibri" w:hAnsi="Calibri"/>
          <w:i/>
          <w:sz w:val="22"/>
          <w:szCs w:val="22"/>
        </w:rPr>
        <w:t>7</w:t>
      </w:r>
      <w:r w:rsidRPr="000F5528">
        <w:rPr>
          <w:rFonts w:ascii="Calibri" w:hAnsi="Calibri"/>
          <w:i/>
          <w:sz w:val="22"/>
          <w:szCs w:val="22"/>
        </w:rPr>
        <w:t>. Aufl</w:t>
      </w:r>
      <w:r w:rsidR="000F5528" w:rsidRPr="000F5528">
        <w:rPr>
          <w:rFonts w:ascii="Calibri" w:hAnsi="Calibri"/>
          <w:i/>
          <w:sz w:val="22"/>
          <w:szCs w:val="22"/>
        </w:rPr>
        <w:t>.</w:t>
      </w:r>
      <w:r w:rsidRPr="000F5528">
        <w:rPr>
          <w:rFonts w:ascii="Calibri" w:hAnsi="Calibri"/>
          <w:i/>
          <w:sz w:val="22"/>
          <w:szCs w:val="22"/>
        </w:rPr>
        <w:t>, 20</w:t>
      </w:r>
      <w:r w:rsidR="00E134A6" w:rsidRPr="000F5528">
        <w:rPr>
          <w:rFonts w:ascii="Calibri" w:hAnsi="Calibri"/>
          <w:i/>
          <w:sz w:val="22"/>
          <w:szCs w:val="22"/>
        </w:rPr>
        <w:t>2</w:t>
      </w:r>
      <w:r w:rsidRPr="000F5528">
        <w:rPr>
          <w:rFonts w:ascii="Calibri" w:hAnsi="Calibri"/>
          <w:i/>
          <w:sz w:val="22"/>
          <w:szCs w:val="22"/>
        </w:rPr>
        <w:t>2</w:t>
      </w:r>
    </w:p>
    <w:p w14:paraId="39302CD7" w14:textId="77777777" w:rsidR="00EB4ACB" w:rsidRPr="000F5528" w:rsidRDefault="00EB4ACB">
      <w:pPr>
        <w:pStyle w:val="Textkrper21"/>
        <w:ind w:right="0"/>
        <w:rPr>
          <w:rFonts w:asciiTheme="minorHAnsi" w:hAnsiTheme="minorHAnsi"/>
          <w:i/>
          <w:iCs/>
          <w:sz w:val="22"/>
          <w:szCs w:val="22"/>
        </w:rPr>
      </w:pPr>
      <w:r w:rsidRPr="000F5528">
        <w:rPr>
          <w:rFonts w:asciiTheme="minorHAnsi" w:hAnsiTheme="minorHAnsi"/>
          <w:i/>
          <w:iCs/>
          <w:sz w:val="22"/>
          <w:szCs w:val="22"/>
        </w:rPr>
        <w:t>ISBN 978-3-7022-2512-4</w:t>
      </w:r>
    </w:p>
    <w:p w14:paraId="0834FB24" w14:textId="7F87AEBD" w:rsidR="007E2C06" w:rsidRPr="000F5528" w:rsidRDefault="00EB4ACB">
      <w:pPr>
        <w:pStyle w:val="Textkrper21"/>
        <w:ind w:right="0"/>
        <w:rPr>
          <w:rFonts w:asciiTheme="minorHAnsi" w:hAnsiTheme="minorHAnsi"/>
          <w:i/>
          <w:iCs/>
          <w:sz w:val="22"/>
          <w:szCs w:val="22"/>
        </w:rPr>
      </w:pPr>
      <w:r w:rsidRPr="000F5528">
        <w:rPr>
          <w:rFonts w:asciiTheme="minorHAnsi" w:hAnsiTheme="minorHAnsi"/>
          <w:i/>
          <w:iCs/>
          <w:sz w:val="22"/>
          <w:szCs w:val="22"/>
        </w:rPr>
        <w:t xml:space="preserve">€ </w:t>
      </w:r>
      <w:r w:rsidR="00441146" w:rsidRPr="000F5528">
        <w:rPr>
          <w:rFonts w:asciiTheme="minorHAnsi" w:hAnsiTheme="minorHAnsi"/>
          <w:i/>
          <w:iCs/>
          <w:sz w:val="22"/>
          <w:szCs w:val="22"/>
        </w:rPr>
        <w:t>18</w:t>
      </w:r>
      <w:r w:rsidR="00FC56AB" w:rsidRPr="000F5528">
        <w:rPr>
          <w:rFonts w:asciiTheme="minorHAnsi" w:hAnsiTheme="minorHAnsi"/>
          <w:i/>
          <w:iCs/>
          <w:sz w:val="22"/>
          <w:szCs w:val="22"/>
        </w:rPr>
        <w:t xml:space="preserve"> | </w:t>
      </w:r>
      <w:r w:rsidR="007E2C06" w:rsidRPr="000F5528">
        <w:rPr>
          <w:rFonts w:asciiTheme="minorHAnsi" w:hAnsiTheme="minorHAnsi"/>
          <w:i/>
          <w:iCs/>
          <w:sz w:val="22"/>
          <w:szCs w:val="22"/>
        </w:rPr>
        <w:t>ab 6 Jahren</w:t>
      </w:r>
    </w:p>
    <w:p w14:paraId="73934F0B" w14:textId="77777777" w:rsidR="00EB4ACB" w:rsidRPr="007E2C06" w:rsidRDefault="00EB4ACB">
      <w:pPr>
        <w:rPr>
          <w:rFonts w:asciiTheme="minorHAnsi" w:hAnsiTheme="minorHAnsi"/>
          <w:sz w:val="24"/>
        </w:rPr>
      </w:pPr>
    </w:p>
    <w:p w14:paraId="754C5753" w14:textId="77777777" w:rsidR="00EB4ACB" w:rsidRDefault="00EB4ACB">
      <w:pPr>
        <w:rPr>
          <w:rFonts w:asciiTheme="minorHAnsi" w:hAnsiTheme="minorHAnsi"/>
          <w:sz w:val="24"/>
        </w:rPr>
      </w:pPr>
    </w:p>
    <w:p w14:paraId="0CBEEE96" w14:textId="77777777" w:rsidR="007E2C06" w:rsidRDefault="007E2C06">
      <w:pPr>
        <w:rPr>
          <w:rFonts w:asciiTheme="minorHAnsi" w:hAnsiTheme="minorHAnsi"/>
          <w:sz w:val="24"/>
        </w:rPr>
      </w:pPr>
    </w:p>
    <w:p w14:paraId="13D3A578" w14:textId="77777777" w:rsidR="007E2C06" w:rsidRPr="007E2C06" w:rsidRDefault="007E2C06">
      <w:pPr>
        <w:rPr>
          <w:rFonts w:asciiTheme="minorHAnsi" w:hAnsiTheme="minorHAnsi"/>
          <w:sz w:val="24"/>
        </w:rPr>
      </w:pPr>
    </w:p>
    <w:p w14:paraId="397FB02E" w14:textId="77777777" w:rsidR="00EB4ACB" w:rsidRPr="007E2C06" w:rsidRDefault="00EB4ACB">
      <w:pPr>
        <w:pStyle w:val="Textkrper31"/>
        <w:jc w:val="left"/>
        <w:rPr>
          <w:rFonts w:asciiTheme="minorHAnsi" w:hAnsiTheme="minorHAnsi"/>
          <w:b/>
        </w:rPr>
      </w:pPr>
      <w:r w:rsidRPr="007E2C06">
        <w:rPr>
          <w:rFonts w:asciiTheme="minorHAnsi" w:hAnsiTheme="minorHAnsi"/>
          <w:b/>
          <w:sz w:val="28"/>
        </w:rPr>
        <w:t>Was passiert nach dem Sterben?</w:t>
      </w:r>
      <w:r w:rsidR="007E2C06">
        <w:rPr>
          <w:rFonts w:asciiTheme="minorHAnsi" w:hAnsiTheme="minorHAnsi"/>
          <w:b/>
          <w:sz w:val="28"/>
        </w:rPr>
        <w:t xml:space="preserve"> –</w:t>
      </w:r>
      <w:r w:rsidRPr="007E2C06">
        <w:rPr>
          <w:rFonts w:asciiTheme="minorHAnsi" w:hAnsiTheme="minorHAnsi"/>
          <w:b/>
          <w:sz w:val="28"/>
        </w:rPr>
        <w:t xml:space="preserve"> Wohin gehen die Toten?</w:t>
      </w:r>
      <w:r w:rsidRPr="007E2C06">
        <w:rPr>
          <w:rFonts w:asciiTheme="minorHAnsi" w:hAnsiTheme="minorHAnsi"/>
          <w:b/>
        </w:rPr>
        <w:t xml:space="preserve"> </w:t>
      </w:r>
      <w:r w:rsidRPr="007E2C06">
        <w:rPr>
          <w:rFonts w:asciiTheme="minorHAnsi" w:hAnsiTheme="minorHAnsi"/>
          <w:b/>
        </w:rPr>
        <w:br/>
        <w:t>Die christliche Botschaft vom Leben n</w:t>
      </w:r>
      <w:r w:rsidR="007E2C06">
        <w:rPr>
          <w:rFonts w:asciiTheme="minorHAnsi" w:hAnsiTheme="minorHAnsi"/>
          <w:b/>
        </w:rPr>
        <w:t>ach dem Tod den Kindern erzählt</w:t>
      </w:r>
    </w:p>
    <w:p w14:paraId="7296A867" w14:textId="77777777" w:rsidR="00EB4ACB" w:rsidRDefault="00EB4ACB">
      <w:pPr>
        <w:jc w:val="both"/>
        <w:rPr>
          <w:rFonts w:asciiTheme="minorHAnsi" w:hAnsiTheme="minorHAnsi"/>
          <w:sz w:val="24"/>
        </w:rPr>
      </w:pPr>
    </w:p>
    <w:p w14:paraId="18C77380" w14:textId="77777777" w:rsidR="00EB4ACB" w:rsidRPr="00FC56AB" w:rsidRDefault="00EB4ACB" w:rsidP="00FC56AB">
      <w:pPr>
        <w:pStyle w:val="Textkrper31"/>
        <w:suppressAutoHyphens/>
        <w:jc w:val="left"/>
        <w:rPr>
          <w:rFonts w:asciiTheme="minorHAnsi" w:hAnsiTheme="minorHAnsi"/>
          <w:szCs w:val="24"/>
        </w:rPr>
      </w:pPr>
      <w:r w:rsidRPr="00FC56AB">
        <w:rPr>
          <w:rFonts w:asciiTheme="minorHAnsi" w:hAnsiTheme="minorHAnsi"/>
          <w:szCs w:val="24"/>
        </w:rPr>
        <w:t>Alle Tiere und Menschen haben ein Zuhause, was aber, wenn sie der Tod aus ihrer Welt herausreißt? In erzählerischer Weise wird hier dargestellt, wie Jesus vom Leben nach dem Tod gesprochen hat: das Haus des Vaters, in dem viele Wohnungen sind; der Ort, an dem auch die Geplagten Glück und Freude finden; das große Festmahl, das alle Freunde Jesu miteinander feiern.</w:t>
      </w:r>
    </w:p>
    <w:p w14:paraId="36A6C78C" w14:textId="77777777" w:rsidR="00EB4ACB" w:rsidRPr="00FC56AB" w:rsidRDefault="00EB4ACB" w:rsidP="00FC56AB">
      <w:pPr>
        <w:pStyle w:val="Textkrper31"/>
        <w:suppressAutoHyphens/>
        <w:jc w:val="left"/>
        <w:rPr>
          <w:rFonts w:asciiTheme="minorHAnsi" w:hAnsiTheme="minorHAnsi"/>
          <w:szCs w:val="24"/>
        </w:rPr>
      </w:pPr>
    </w:p>
    <w:p w14:paraId="37421BBA" w14:textId="77777777" w:rsidR="00EB4ACB" w:rsidRPr="00FC56AB" w:rsidRDefault="00EB4ACB" w:rsidP="00FC56AB">
      <w:pPr>
        <w:pStyle w:val="Textkrper31"/>
        <w:suppressAutoHyphens/>
        <w:jc w:val="left"/>
        <w:rPr>
          <w:rFonts w:asciiTheme="minorHAnsi" w:hAnsiTheme="minorHAnsi"/>
          <w:szCs w:val="24"/>
        </w:rPr>
      </w:pPr>
      <w:r w:rsidRPr="00FC56AB">
        <w:rPr>
          <w:rFonts w:asciiTheme="minorHAnsi" w:hAnsiTheme="minorHAnsi"/>
          <w:szCs w:val="24"/>
        </w:rPr>
        <w:t xml:space="preserve">Im Anhang gibt die Autorin kurze prägnante Impulse, wie </w:t>
      </w:r>
      <w:r w:rsidR="00FC56AB" w:rsidRPr="00FC56AB">
        <w:rPr>
          <w:rFonts w:asciiTheme="minorHAnsi" w:hAnsiTheme="minorHAnsi"/>
          <w:szCs w:val="24"/>
        </w:rPr>
        <w:t xml:space="preserve">Eltern, </w:t>
      </w:r>
      <w:proofErr w:type="spellStart"/>
      <w:r w:rsidR="00FC56AB" w:rsidRPr="00FC56AB">
        <w:rPr>
          <w:rFonts w:asciiTheme="minorHAnsi" w:hAnsiTheme="minorHAnsi"/>
          <w:szCs w:val="24"/>
        </w:rPr>
        <w:t>Pädagog:innen</w:t>
      </w:r>
      <w:proofErr w:type="spellEnd"/>
      <w:r w:rsidR="00FC56AB" w:rsidRPr="00FC56AB">
        <w:rPr>
          <w:rFonts w:asciiTheme="minorHAnsi" w:hAnsiTheme="minorHAnsi"/>
          <w:szCs w:val="24"/>
        </w:rPr>
        <w:t xml:space="preserve"> oder andere Bezugspersonen</w:t>
      </w:r>
      <w:r w:rsidRPr="00FC56AB">
        <w:rPr>
          <w:rFonts w:asciiTheme="minorHAnsi" w:hAnsiTheme="minorHAnsi"/>
          <w:szCs w:val="24"/>
        </w:rPr>
        <w:t xml:space="preserve"> mit Kindern über den Tod reden können und diese in ihrer Trauer nach einem Todesfall begleiten können.</w:t>
      </w:r>
    </w:p>
    <w:p w14:paraId="7E2E8E8D" w14:textId="77777777" w:rsidR="00EB4ACB" w:rsidRPr="00FC56AB" w:rsidRDefault="00EB4ACB">
      <w:pPr>
        <w:rPr>
          <w:rFonts w:asciiTheme="minorHAnsi" w:hAnsiTheme="minorHAnsi"/>
          <w:sz w:val="24"/>
          <w:szCs w:val="24"/>
        </w:rPr>
      </w:pPr>
    </w:p>
    <w:p w14:paraId="5B1FAB36" w14:textId="77777777" w:rsidR="007E2C06" w:rsidRPr="00FC56AB" w:rsidRDefault="00FC56AB" w:rsidP="00955B05">
      <w:pPr>
        <w:ind w:left="567" w:right="820"/>
        <w:rPr>
          <w:rFonts w:asciiTheme="minorHAnsi" w:hAnsiTheme="minorHAnsi"/>
          <w:sz w:val="24"/>
          <w:szCs w:val="24"/>
        </w:rPr>
      </w:pPr>
      <w:r w:rsidRPr="000F5528">
        <w:rPr>
          <w:rFonts w:asciiTheme="minorHAnsi" w:hAnsiTheme="minorHAnsi"/>
          <w:b/>
          <w:i/>
          <w:iCs/>
          <w:sz w:val="24"/>
          <w:szCs w:val="24"/>
        </w:rPr>
        <w:t>»Wo die Toten zu Hause sind ist ein sehr farbenfrohes und witzig illustriertes Buch und eignet sich sehr gut als Einstieg in dieses ernste Thema.«</w:t>
      </w:r>
      <w:r>
        <w:rPr>
          <w:rFonts w:asciiTheme="minorHAnsi" w:hAnsiTheme="minorHAnsi"/>
          <w:sz w:val="24"/>
          <w:szCs w:val="24"/>
        </w:rPr>
        <w:t xml:space="preserve"> Diözese Eisenstadt</w:t>
      </w:r>
      <w:r>
        <w:rPr>
          <w:rFonts w:asciiTheme="minorHAnsi" w:hAnsiTheme="minorHAnsi"/>
          <w:sz w:val="24"/>
          <w:szCs w:val="24"/>
        </w:rPr>
        <w:br/>
      </w:r>
    </w:p>
    <w:p w14:paraId="68F81759" w14:textId="77777777" w:rsidR="007E2C06" w:rsidRPr="00FC56AB" w:rsidRDefault="007E2C06">
      <w:pPr>
        <w:rPr>
          <w:rFonts w:asciiTheme="minorHAnsi" w:hAnsiTheme="minorHAnsi"/>
          <w:sz w:val="24"/>
          <w:szCs w:val="24"/>
        </w:rPr>
      </w:pPr>
    </w:p>
    <w:p w14:paraId="10A49E48" w14:textId="77777777" w:rsidR="00EB4ACB" w:rsidRPr="00FC56AB" w:rsidRDefault="00EB4ACB">
      <w:pPr>
        <w:pStyle w:val="6Wegbeschreibung"/>
        <w:ind w:right="1417"/>
        <w:rPr>
          <w:rFonts w:asciiTheme="minorHAnsi" w:hAnsiTheme="minorHAnsi"/>
          <w:b/>
          <w:i/>
          <w:szCs w:val="24"/>
        </w:rPr>
      </w:pPr>
      <w:r w:rsidRPr="00FC56AB">
        <w:rPr>
          <w:rFonts w:asciiTheme="minorHAnsi" w:hAnsiTheme="minorHAnsi"/>
          <w:b/>
          <w:i/>
          <w:szCs w:val="24"/>
        </w:rPr>
        <w:t>Die Autorin</w:t>
      </w:r>
      <w:r w:rsidR="007E2C06" w:rsidRPr="00FC56AB">
        <w:rPr>
          <w:rFonts w:asciiTheme="minorHAnsi" w:hAnsiTheme="minorHAnsi"/>
          <w:b/>
          <w:i/>
          <w:szCs w:val="24"/>
        </w:rPr>
        <w:t xml:space="preserve"> und die Illustratorin</w:t>
      </w:r>
    </w:p>
    <w:p w14:paraId="1658E7AE" w14:textId="06699CB9" w:rsidR="00FC56AB" w:rsidRPr="00FC56AB" w:rsidRDefault="00FC56AB" w:rsidP="00FC56AB">
      <w:pPr>
        <w:spacing w:after="120"/>
        <w:rPr>
          <w:rFonts w:ascii="Calibri" w:hAnsi="Calibri"/>
          <w:color w:val="000000"/>
          <w:sz w:val="24"/>
          <w:szCs w:val="24"/>
        </w:rPr>
      </w:pPr>
      <w:r w:rsidRPr="00FC56AB">
        <w:rPr>
          <w:rFonts w:ascii="Calibri" w:hAnsi="Calibri"/>
          <w:smallCaps/>
          <w:color w:val="000000"/>
          <w:sz w:val="24"/>
          <w:szCs w:val="24"/>
        </w:rPr>
        <w:t>Christine Hubka</w:t>
      </w:r>
      <w:r w:rsidRPr="00FC56AB">
        <w:rPr>
          <w:rFonts w:ascii="Calibri" w:hAnsi="Calibri"/>
          <w:color w:val="000000"/>
          <w:sz w:val="24"/>
          <w:szCs w:val="24"/>
        </w:rPr>
        <w:t>, studierte unter anderem evangelische Theologie. Nach ihrer Tätigkeit als Religionslehrerin an einer Wiener Volksschule absolvierte sie ein Vikariat und war anschließend Pfarrerin in Traiskirchen, wo sie den evangelischen Flüchtlingsdienst gründete. Sie hatte Lehraufträge an der Pädagogischen Akademie sowie an der Universität Wien, war Fachinspektorin und Schulamtsleiterin und zuletzt Pfarrerin in der evangelischen Pauluskirche in Wien</w:t>
      </w:r>
      <w:r w:rsidR="000F5528">
        <w:rPr>
          <w:rFonts w:ascii="Calibri" w:hAnsi="Calibri"/>
          <w:color w:val="000000"/>
          <w:sz w:val="24"/>
          <w:szCs w:val="24"/>
        </w:rPr>
        <w:t xml:space="preserve"> und</w:t>
      </w:r>
      <w:r w:rsidRPr="00FC56AB">
        <w:rPr>
          <w:rFonts w:ascii="Calibri" w:hAnsi="Calibri"/>
          <w:color w:val="000000"/>
          <w:sz w:val="24"/>
          <w:szCs w:val="24"/>
        </w:rPr>
        <w:t xml:space="preserve"> als Gefängnisseelsorgerin tätig. Sie ist Preisträgerin des Bruno Kreisky Menschenrechtspreises.</w:t>
      </w:r>
    </w:p>
    <w:p w14:paraId="6BBCC88A" w14:textId="77777777" w:rsidR="00EB4ACB" w:rsidRPr="00FC56AB" w:rsidRDefault="00EB4ACB">
      <w:pPr>
        <w:ind w:right="1417"/>
        <w:rPr>
          <w:rFonts w:asciiTheme="minorHAnsi" w:hAnsiTheme="minorHAnsi"/>
          <w:sz w:val="24"/>
          <w:szCs w:val="24"/>
        </w:rPr>
      </w:pPr>
    </w:p>
    <w:p w14:paraId="4466372A" w14:textId="77777777" w:rsidR="00EB4ACB" w:rsidRPr="00FC56AB" w:rsidRDefault="00EB4ACB">
      <w:pPr>
        <w:rPr>
          <w:rFonts w:asciiTheme="minorHAnsi" w:hAnsiTheme="minorHAnsi"/>
          <w:sz w:val="24"/>
          <w:szCs w:val="24"/>
        </w:rPr>
      </w:pPr>
      <w:r w:rsidRPr="00FC56AB">
        <w:rPr>
          <w:rFonts w:asciiTheme="minorHAnsi" w:hAnsiTheme="minorHAnsi"/>
          <w:smallCaps/>
          <w:sz w:val="24"/>
          <w:szCs w:val="24"/>
        </w:rPr>
        <w:t>Nina Hammerle</w:t>
      </w:r>
      <w:r w:rsidRPr="00FC56AB">
        <w:rPr>
          <w:rFonts w:asciiTheme="minorHAnsi" w:hAnsiTheme="minorHAnsi"/>
          <w:sz w:val="24"/>
          <w:szCs w:val="24"/>
        </w:rPr>
        <w:t>, geboren 1973 in Amsterdam, Ausbildung in Malerei, Grafik und Kunsthandwerk in Innsbruck und Linz, arbeitet seit 1997 als freischaffende Künstlerin mit und auf Papier.</w:t>
      </w:r>
    </w:p>
    <w:p w14:paraId="205F28CA" w14:textId="77777777" w:rsidR="00EB4ACB" w:rsidRPr="00FC56AB" w:rsidRDefault="00EB4ACB">
      <w:pPr>
        <w:rPr>
          <w:rFonts w:asciiTheme="minorHAnsi" w:hAnsiTheme="minorHAnsi"/>
          <w:sz w:val="24"/>
          <w:szCs w:val="24"/>
        </w:rPr>
      </w:pPr>
    </w:p>
    <w:sectPr w:rsidR="00EB4ACB" w:rsidRPr="00FC56AB" w:rsidSect="00FC56AB">
      <w:headerReference w:type="default" r:id="rId8"/>
      <w:pgSz w:w="11906" w:h="16838"/>
      <w:pgMar w:top="1418" w:right="1191" w:bottom="992"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B8E7" w14:textId="77777777" w:rsidR="008111AF" w:rsidRDefault="008111AF">
      <w:r>
        <w:separator/>
      </w:r>
    </w:p>
  </w:endnote>
  <w:endnote w:type="continuationSeparator" w:id="0">
    <w:p w14:paraId="37204BBA" w14:textId="77777777" w:rsidR="008111AF" w:rsidRDefault="0081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BBAF" w14:textId="77777777" w:rsidR="008111AF" w:rsidRDefault="008111AF">
      <w:r>
        <w:separator/>
      </w:r>
    </w:p>
  </w:footnote>
  <w:footnote w:type="continuationSeparator" w:id="0">
    <w:p w14:paraId="1799C331" w14:textId="77777777" w:rsidR="008111AF" w:rsidRDefault="0081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33BB" w14:textId="77777777" w:rsidR="00EB4ACB" w:rsidRDefault="00EB4ACB">
    <w:pPr>
      <w:rPr>
        <w:rFonts w:ascii="Century Gothic" w:hAnsi="Century Gothic"/>
        <w:sz w:val="36"/>
      </w:rPr>
    </w:pPr>
  </w:p>
  <w:p w14:paraId="4F9C4534" w14:textId="1BDD5C4A" w:rsidR="00EB4ACB" w:rsidRDefault="00CC1F84">
    <w:pPr>
      <w:rPr>
        <w:rFonts w:ascii="Century Gothic" w:hAnsi="Century Gothic"/>
        <w:sz w:val="36"/>
      </w:rPr>
    </w:pPr>
    <w:r w:rsidRPr="00CC1F84">
      <w:drawing>
        <wp:inline distT="0" distB="0" distL="0" distR="0" wp14:anchorId="4FFEA31B" wp14:editId="1AADE2AA">
          <wp:extent cx="5760720" cy="4737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3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8405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CB"/>
    <w:rsid w:val="000F5528"/>
    <w:rsid w:val="00190EC4"/>
    <w:rsid w:val="00441146"/>
    <w:rsid w:val="005968E1"/>
    <w:rsid w:val="005A7026"/>
    <w:rsid w:val="005F4FDE"/>
    <w:rsid w:val="006620AC"/>
    <w:rsid w:val="006773D0"/>
    <w:rsid w:val="007E2C06"/>
    <w:rsid w:val="008111AF"/>
    <w:rsid w:val="00955B05"/>
    <w:rsid w:val="00A273C9"/>
    <w:rsid w:val="00BD76E4"/>
    <w:rsid w:val="00CC1F84"/>
    <w:rsid w:val="00D24F79"/>
    <w:rsid w:val="00DF4B08"/>
    <w:rsid w:val="00E134A6"/>
    <w:rsid w:val="00EB4ACB"/>
    <w:rsid w:val="00FC56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A4FB09"/>
  <w15:docId w15:val="{79A29CB5-ECDC-4B6D-914B-A1FC8352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8"/>
      <w:lang w:val="de-DE" w:eastAsia="ar-SA"/>
    </w:rPr>
  </w:style>
  <w:style w:type="paragraph" w:styleId="berschrift1">
    <w:name w:val="heading 1"/>
    <w:basedOn w:val="Standard"/>
    <w:next w:val="Standard"/>
    <w:qFormat/>
    <w:pPr>
      <w:keepNext/>
      <w:numPr>
        <w:numId w:val="1"/>
      </w:numPr>
      <w:jc w:val="both"/>
      <w:outlineLvl w:val="0"/>
    </w:pPr>
    <w:rPr>
      <w:b/>
      <w:i/>
      <w:sz w:val="24"/>
    </w:rPr>
  </w:style>
  <w:style w:type="paragraph" w:styleId="berschrift3">
    <w:name w:val="heading 3"/>
    <w:basedOn w:val="Standard"/>
    <w:next w:val="Standard"/>
    <w:link w:val="berschrift3Zchn"/>
    <w:uiPriority w:val="9"/>
    <w:semiHidden/>
    <w:unhideWhenUsed/>
    <w:qFormat/>
    <w:rsid w:val="00CC1F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qFormat/>
    <w:pPr>
      <w:keepNext/>
      <w:numPr>
        <w:ilvl w:val="3"/>
        <w:numId w:val="1"/>
      </w:numPr>
      <w:jc w:val="both"/>
      <w:outlineLvl w:val="3"/>
    </w:pPr>
    <w:rPr>
      <w:rFonts w:ascii="Times New Roman" w:hAnsi="Times New Roman"/>
      <w:smallCaps/>
      <w:sz w:val="24"/>
    </w:rPr>
  </w:style>
  <w:style w:type="paragraph" w:styleId="berschrift5">
    <w:name w:val="heading 5"/>
    <w:basedOn w:val="Standard"/>
    <w:next w:val="Standard"/>
    <w:qFormat/>
    <w:pPr>
      <w:keepNext/>
      <w:numPr>
        <w:ilvl w:val="4"/>
        <w:numId w:val="1"/>
      </w:numPr>
      <w:ind w:left="0" w:right="1417" w:firstLine="0"/>
      <w:jc w:val="both"/>
      <w:outlineLvl w:val="4"/>
    </w:pPr>
    <w:rPr>
      <w:rFonts w:ascii="Times New Roman" w:hAnsi="Times New Roman"/>
      <w:i/>
      <w:sz w:val="24"/>
    </w:rPr>
  </w:style>
  <w:style w:type="paragraph" w:styleId="berschrift8">
    <w:name w:val="heading 8"/>
    <w:basedOn w:val="Standard"/>
    <w:next w:val="Standard"/>
    <w:qFormat/>
    <w:pPr>
      <w:keepNext/>
      <w:numPr>
        <w:ilvl w:val="7"/>
        <w:numId w:val="1"/>
      </w:numPr>
      <w:outlineLvl w:val="7"/>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Lucida Sans Unicode" w:cs="Mangal"/>
      <w:szCs w:val="28"/>
    </w:rPr>
  </w:style>
  <w:style w:type="paragraph" w:styleId="Textkrper">
    <w:name w:val="Body Text"/>
    <w:basedOn w:val="Standard"/>
    <w:pPr>
      <w:ind w:right="1275"/>
      <w:jc w:val="both"/>
    </w:pPr>
    <w:rPr>
      <w:rFonts w:ascii="Times New Roman" w:hAnsi="Times New Roman"/>
      <w:color w:val="000000"/>
      <w:sz w:val="24"/>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rPr>
      <w:rFonts w:ascii="Times New Roman" w:hAnsi="Times New Roman"/>
      <w:sz w:val="24"/>
    </w:rPr>
  </w:style>
  <w:style w:type="paragraph" w:customStyle="1" w:styleId="Textkrper31">
    <w:name w:val="Textkörper 31"/>
    <w:basedOn w:val="Standard"/>
    <w:pPr>
      <w:jc w:val="both"/>
    </w:pPr>
    <w:rPr>
      <w:rFonts w:ascii="Courier New" w:hAnsi="Courier New"/>
      <w:sz w:val="24"/>
    </w:rPr>
  </w:style>
  <w:style w:type="paragraph" w:customStyle="1" w:styleId="6Wegbeschreibung">
    <w:name w:val="6 Wegbeschreibung"/>
    <w:basedOn w:val="Standard"/>
    <w:rPr>
      <w:rFonts w:ascii="Times New Roman" w:hAnsi="Times New Roman"/>
      <w:sz w:val="24"/>
    </w:rPr>
  </w:style>
  <w:style w:type="paragraph" w:customStyle="1" w:styleId="Textkrper21">
    <w:name w:val="Textkörper 21"/>
    <w:basedOn w:val="Standard"/>
    <w:pPr>
      <w:tabs>
        <w:tab w:val="left" w:pos="7797"/>
      </w:tabs>
      <w:ind w:right="850"/>
      <w:jc w:val="both"/>
    </w:pPr>
    <w:rPr>
      <w:rFonts w:ascii="Courier New" w:hAnsi="Courier New"/>
      <w:sz w:val="24"/>
    </w:rPr>
  </w:style>
  <w:style w:type="paragraph" w:styleId="Fuzeile">
    <w:name w:val="footer"/>
    <w:basedOn w:val="Standard"/>
    <w:pPr>
      <w:tabs>
        <w:tab w:val="center" w:pos="4536"/>
        <w:tab w:val="right" w:pos="9072"/>
      </w:tabs>
    </w:pPr>
  </w:style>
  <w:style w:type="character" w:customStyle="1" w:styleId="berschrift3Zchn">
    <w:name w:val="Überschrift 3 Zchn"/>
    <w:basedOn w:val="Absatz-Standardschriftart"/>
    <w:link w:val="berschrift3"/>
    <w:uiPriority w:val="9"/>
    <w:semiHidden/>
    <w:rsid w:val="00CC1F84"/>
    <w:rPr>
      <w:rFonts w:asciiTheme="majorHAnsi" w:eastAsiaTheme="majorEastAsia" w:hAnsiTheme="majorHAnsi" w:cstheme="majorBidi"/>
      <w:color w:val="243F60" w:themeColor="accent1" w:themeShade="7F"/>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Christine Hubka / Nina Hammerle</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Hubka / Nina Hammerle</dc:title>
  <dc:creator>Jasmin Sturm</dc:creator>
  <cp:lastModifiedBy>Tina Reiter</cp:lastModifiedBy>
  <cp:revision>2</cp:revision>
  <cp:lastPrinted>2022-01-18T10:53:00Z</cp:lastPrinted>
  <dcterms:created xsi:type="dcterms:W3CDTF">2023-03-30T11:13:00Z</dcterms:created>
  <dcterms:modified xsi:type="dcterms:W3CDTF">2023-03-30T11:13:00Z</dcterms:modified>
</cp:coreProperties>
</file>